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NW_28849 (Nordrhein-Westfalen) — Nachtragssatzung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Haushaltssatzung kann nur durch Nachtragssatzung geändert werden, die spätestens bis zum Ablauf des Haushaltsjahres zu beschließen ist. Für die Nachtragssatzung gelten die Vorschriften für die Haushaltssatzung entsprechend.</w:t>
      </w:r>
    </w:p>
    <w:p>
      <w:r>
        <w:t xml:space="preserve">(2) Die Gemeinde hat unverzüglich eine Nachtragssatzung zu erlassen, wenn</w:t>
      </w:r>
    </w:p>
    <w:p>
      <w:r>
        <w:t xml:space="preserve">1. sich zeigt, dass ein erheblicher Jahresfehlbetrag entsteht oder ein veranschlagter Jahresfehlbetrag sich erheblich vergrößert und dies sich nicht durch andere Maßnahmen vermeiden lässt,</w:t>
      </w:r>
    </w:p>
    <w:p>
      <w:r>
        <w:t xml:space="preserve">2. bisher nicht veranschlagte oder zusätzliche Aufwendungen oder Auszahlungen bei einzelnen Haushaltspositionen in einem im Verhältnis zu den Gesamtaufwendungen oder Gesamtauszahlungen erheblichen Umfang geleistet werden müssen,</w:t>
      </w:r>
    </w:p>
    <w:p>
      <w:r>
        <w:t xml:space="preserve">3. Auszahlungen für bisher nicht veranschlagte Investitionen oder Investitionsfördermaßnahmen geleistet werden sollen.</w:t>
      </w:r>
    </w:p>
    <w:p>
      <w:r>
        <w:t xml:space="preserve">Dies gilt nicht für überplanmäßige Auszahlungen im Sinne des § 83 Abs. 3.</w:t>
      </w:r>
    </w:p>
    <w:p>
      <w:r>
        <w:t xml:space="preserve">(3) Absatz 2 Nummer 2 und 3 findet keine Anwendung auf</w:t>
      </w:r>
    </w:p>
    <w:p>
      <w:r>
        <w:t xml:space="preserve">1. geringfügige Investitionen, Instandsetzungen an Bauten oder Investitionsfördermaßnahmen sowie unabweisbare Aufwendungen und Auszahlungen,</w:t>
      </w:r>
    </w:p>
    <w:p>
      <w:r>
        <w:t xml:space="preserve">2. Umschuldung von Krediten und</w:t>
      </w:r>
    </w:p>
    <w:p>
      <w:r>
        <w:t xml:space="preserve">3. Abweichungen vom Stellenplan und die Leistung höherer Personalaufwendungen, die sich unmittelbar aus einer Änderung des Besoldungs- oder Tarifrechts ergeben.</w:t>
      </w:r>
    </w:p>
    <w:p>
      <w:r>
        <w:t xml:space="preserve">Für Verwaltungsvorfälle nach Satz 1 Nummer 1 kann der Rat eine Wesentlichkeitsschwelle festlegen.</w:t>
      </w:r>
    </w:p>
    <w:p>
      <w:r>
        <w:t xml:space="preserve">(4) Im Übrigen kann, wenn die Entwicklung der Erträge oder der Aufwendungen oder die Erhaltung der Liquidität es erfordert, der Rat die Inanspruchnahme von Ermächtigungen sperren. Er kann seine Sperre und die des Kämmerers oder des Bürgermeisters aufheben.</w:t>
      </w:r>
    </w:p>
    <w:p>
      <w:r>
        <w:rPr>
          <w:color w:val="555555"/>
          <w:sz w:val="17"/>
        </w:rPr>
        <w:t xml:space="preserve">Zitiervorschlag: § 81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