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NW_28849 (Nordrhein-Westfalen) — Haushaltssatzung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 hat für jedes Haushaltsjahr eine Haushaltssatzung zu erlassen.</w:t>
      </w:r>
    </w:p>
    <w:p>
      <w:r>
        <w:t xml:space="preserve">(2) Die Haushaltssatzung enthält die Festsetzung</w:t>
      </w:r>
    </w:p>
    <w:p>
      <w:r>
        <w:t xml:space="preserve">1. des Haushaltsplans</w:t>
      </w:r>
    </w:p>
    <w:p>
      <w:r>
        <w:t xml:space="preserve">a) im Ergebnisplan unter Angabe des Gesamtbetrages der Erträge und der Aufwendungen des Haushaltsjahres,</w:t>
      </w:r>
    </w:p>
    <w:p>
      <w:r>
        <w:t xml:space="preserve">b) im Finanzplan unter Angabe des Gesamtbetrages der Einzahlungen und Auszahlungen aus laufender Verwaltungstätigkeit, des Gesamtbetrages der Einzahlungen und Auszahlungen aus der Investitionstätigkeit und aus der Finanzierungstätigkeit des Haushaltsjahres,</w:t>
      </w:r>
    </w:p>
    <w:p>
      <w:r>
        <w:t xml:space="preserve">c) unter Angabe der vorgesehenen Kreditaufnahmen für Investitionen (Kreditermächtigung),</w:t>
      </w:r>
    </w:p>
    <w:p>
      <w:r>
        <w:t xml:space="preserve">d) unter Angabe der vorgesehenen Ermächtigungen zum Eingehen von Verpflichtungen, die künftige Haushaltsjahre mit Auszahlungen für Investitionen belasten (Verpflichtungsermächtigungen),</w:t>
      </w:r>
    </w:p>
    <w:p>
      <w:r>
        <w:t xml:space="preserve">2. der Inanspruchnahme der Ausgleichsrücklage, des Vortrages eines Jahresfehlbetrages und der Verringerung der allgemeinen Rücklage,</w:t>
      </w:r>
    </w:p>
    <w:p>
      <w:r>
        <w:t xml:space="preserve">3. des Höchstbetrages der Kredite zur Liquiditätssicherung,</w:t>
      </w:r>
    </w:p>
    <w:p>
      <w:r>
        <w:t xml:space="preserve">4. der Steuersätze, die für jedes Haushaltsjahr neu festzusetzen sind,</w:t>
      </w:r>
    </w:p>
    <w:p>
      <w:r>
        <w:t xml:space="preserve">5. des Jahres, in dem der Haushaltsausgleich wieder hergestellt ist.</w:t>
      </w:r>
    </w:p>
    <w:p>
      <w:r>
        <w:t xml:space="preserve">Sie kann weitere Vorschriften enthalten, die sich auf die Erträge und die Aufwendungen, Einzahlungen und Auszahlungen, den Stellenplan des Haushaltsjahres und das Haushaltssicherungskonzept beziehen.</w:t>
      </w:r>
    </w:p>
    <w:p>
      <w:r>
        <w:t xml:space="preserve">(3) Die Haushaltssatzung tritt mit Beginn des Haushaltsjahres in Kraft und gilt für das Haushaltsjahr. Sie kann Festsetzungen für zwei Haushaltsjahre, nach Jahren getrennt, enthalten.</w:t>
      </w:r>
    </w:p>
    <w:p>
      <w:r>
        <w:t xml:space="preserve">(4) Haushaltsjahr ist das Kalenderjahr, soweit für einzelne Bereiche durch Gesetz oder Rechtsverordnung nichts anderes bestimmt ist.</w:t>
      </w:r>
    </w:p>
    <w:p>
      <w:r>
        <w:rPr>
          <w:color w:val="555555"/>
          <w:sz w:val="17"/>
        </w:rPr>
        <w:t xml:space="preserve">Zitiervorschlag: § 78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https://recht.nulegal.eu/gesetze/NW_28849/78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