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75a NW_28849 (Nordrhein-Westfalen) — Allgemeine Vergabegrundsätze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hat die Vergabe von öffentlichen Aufträgen vorbehaltlich anderweitiger Rechtsvorschriften wirtschaftlich, effizient und sparsam unter Beachtung der Grundsätze von Gleichbehandlung und Transparenz zu gestalten. Dies gilt auch bei der Vergabe von öffentlichen Aufträgen, deren geschätzter Auftrags- oder Vertragswert ohne Umsatzsteuer unterhalb der jeweils geltenden Schwellenwerte nach § 106 des Gesetzes gegen Wettbewerbsbeschränkungen in der Fassung der Bekanntmachung vom 26. Juni 2013 (BGBl. I S. 1750, 3245) in der jeweils geltenden Fassung liegt. Die Geltung höherrangiger Vorschriften sowie der Vorschriften für die Vergabe von öffentlichen Aufträgen, deren geschätzter Auftrags- oder Vertragswert die in Satz 2 genannten Schwellenwerte erreicht, bleibt unberührt.</w:t>
      </w:r>
    </w:p>
    <w:p>
      <w:r>
        <w:t xml:space="preserve">(2) Die Gemeinde darf Regelungen, die die Durchführung von Vergaben einschränken, nur durch den Beschluss einer Satzung erlassen.</w:t>
      </w:r>
    </w:p>
    <w:p>
      <w:r>
        <w:rPr>
          <w:color w:val="555555"/>
          <w:sz w:val="17"/>
        </w:rPr>
        <w:t xml:space="preserve">Zitiervorschlag: § 75a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https://recht.nulegal.eu/gesetze/NW_28849/75a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