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NW_28849 (Nordrhein-Westfalen) — Allgemeine Haushaltsgrundsätze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ihre Haushaltswirtschaft so zu planen und zu führen, dass die stetige Erfüllung ihrer Aufgaben gesichert ist. Die Gemeinde hat Bücher zu führen, in denen nach Maßgabe dieses Gesetzes und nach den Grundsätzen ordnungsmäßiger Buchführung unter Berücksichtigung der besonderen gemeindehaushaltsrechtlichen Bestimmungen die Verwaltungsvorfälle und die Vermögens-, Ertrags- und Finanzlage in der Form der doppelten Buchführung ersichtlich zu machen sind. Die Haushaltswirtschaft ist wirtschaftlich, effizient und sparsam zu führen. Dabei ist den Erfordernissen des gesamtwirtschaftlichen Gleichgewichts Rechnung zu tragen.</w:t>
      </w:r>
    </w:p>
    <w:p>
      <w:r>
        <w:t xml:space="preserve">(2) Der Haushalt muss in jedem Jahr in Planung und Rechnung ausgeglichen sein. Er ist ausgeglichen, wenn der Gesamtbetrag der Erträge die Höhe des Gesamtbetrages der Aufwendungen erreicht oder übersteigt. Die Verpflichtung des Satzes 1 gilt als erfüllt, wenn der Fehlbedarf im Ergebnisplan und der Fehlbetrag in der Ergebnisrechnung durch Inanspruchnahme der Ausgleichsrücklage gedeckt werden können.</w:t>
      </w:r>
    </w:p>
    <w:p>
      <w:r>
        <w:t xml:space="preserve">(3) In der Bilanz ist eine Ausgleichsrücklage zusätzlich zur allgemeinen Rücklage als gesonderter Posten des Eigenkapitals anzusetzen. Jahresüberschüsse erhöhen, soweit sie nicht für den Haushaltsausgleich verwendet werden, die Ausgleichsrücklage. Im Rahmen der Feststellung des Jahresabschlusses können aus der Ausgleichsrücklage Beträge in die allgemeine Rücklage umgebucht werden.</w:t>
      </w:r>
    </w:p>
    <w:p>
      <w:r>
        <w:t xml:space="preserve">(4) Wird bei der Aufstellung der Haushaltssatzung ein Jahresfehlbetrag vorgetragen oder eine Verringerung der allgemeinen Rücklage vorgesehen, bedarf dies der Genehmigung der Aufsichtsbehörde. Die Genehmigung gilt als erteilt, wenn die Aufsichtsbehörde nicht innerhalb eines Monats nach Eingang des Antrages der Gemeinde eine andere Entscheidung trifft. Die Genehmigung kann unter Bedingungen und mit Auflagen erteilt werden. Sie ist mit der Verpflichtung, ein Haushaltssicherungskonzept nach § 76 aufzustellen, zu verbinden, wenn die Voraussetzungen des § 76 Absatz 1 vorliegen.</w:t>
      </w:r>
    </w:p>
    <w:p>
      <w:r>
        <w:t xml:space="preserve">(5) Weist die Ergebnisrechnung bei der Bestätigung des Jahresabschlusses nach § 95 Absatz 5 trotz eines ursprünglich ausgeglichenen Ergebnisplans einen Jahresfehlbetrag oder einen höheren Jahresfehlbetrag als im Ergebnisplan ausgewiesen aus, so hat die Gemeinde dies der Aufsichtsbehörde unverzüglich anzuzeigen. Die Aufsichtsbehörde kann in diesem Fall Anordnungen treffen, erforderlichenfalls diese Anordnungen selbst durchführen oder – wenn und solange diese Befugnisse nicht ausreichen – einen Beauftragten bestellen, um eine geordnete Haushaltswirtschaft wiederherzustellen. §§ 123 und 124 gelten sinngemäß.</w:t>
      </w:r>
    </w:p>
    <w:p>
      <w:r>
        <w:t xml:space="preserve">(6) Die Liquidität der Gemeinde einschließlich der Finanzierung der Investitionen ist sicherzustellen.</w:t>
      </w:r>
    </w:p>
    <w:p>
      <w:r>
        <w:t xml:space="preserve">(7) Die Gemeinde darf sich nicht überschulden. Sie ist überschuldet, wenn in der Bilanz ein nicht durch Eigenkapital gedeckter Fehlbetrag ausgewiesen wird.</w:t>
      </w:r>
    </w:p>
    <w:p>
      <w:r>
        <w:rPr>
          <w:color w:val="555555"/>
          <w:sz w:val="17"/>
        </w:rPr>
        <w:t xml:space="preserve">Zitiervorschlag: § 75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