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NW_28849 (Nordrhein-Westfalen) — Vertretung der Gemeinde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Unbeschadet der dem Rat und seinen Ausschüssen zustehenden Entscheidungsbefugnisse ist der Bürgermeister der gesetzliche Vertreter der Gemeinde in Rechts- und Verwaltungsgeschäften. § 74 Abs. 3 und § 64 bleiben unberührt.</w:t>
      </w:r>
    </w:p>
    <w:p>
      <w:r>
        <w:t xml:space="preserve">(2) Für die Vertretung der Gemeinde in Organen von juristischen Personen oder Personenvereinigungen gilt § 113.</w:t>
      </w:r>
    </w:p>
    <w:p>
      <w:r>
        <w:rPr>
          <w:color w:val="555555"/>
          <w:sz w:val="17"/>
        </w:rPr>
        <w:t xml:space="preserve">Zitiervorschlag: § 63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https://recht.nulegal.eu/gesetze/NW_28849/63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