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NW_28849 (Nordrhein-Westfalen) — Planung der Verwaltungsaufgaben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Im Rahmen der vom Rat festgelegten allgemeinen Richtlinien entscheidet der Hauptausschuß über die Planung der Verwaltungsaufgaben von besonderer Bedeutung. Zu diesem Zweck hat der Bürgermeister den Hauptausschuß regelmäßig und frühzeitig über solche Planungsvorhaben zu unterrichten.</w:t>
      </w:r>
    </w:p>
    <w:p>
      <w:r>
        <w:t xml:space="preserve">6. Teil</w:t>
      </w:r>
    </w:p>
    <w:p>
      <w:r>
        <w:t xml:space="preserve">Bürgermeister</w:t>
      </w:r>
    </w:p>
    <w:p>
      <w:r>
        <w:rPr>
          <w:color w:val="555555"/>
          <w:sz w:val="17"/>
        </w:rPr>
        <w:t xml:space="preserve">Zitiervorschlag: § 61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https://recht.nulegal.eu/gesetze/NW_28849/61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