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58a NW_28849 (Nordrhein-Westfalen) — Hybride Sitzungen der Ausschüsse</w:t>
      </w:r>
    </w:p>
    <w:p>
      <w:r>
        <w:rPr>
          <w:color w:val="555555"/>
          <w:sz w:val="18"/>
        </w:rPr>
        <w:t xml:space="preserve">GO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In der Hauptsatzung kann bestimmt werden, dass Ausschüsse des Rates auch außerhalb der besonderen Ausnahmefälle nach § 47a Absatz 1 hybride Sitzungen durchführen dürfen. Von diesem Recht ausgenommen sind die in § 57 Absatz 2 genannten Ausschüsse. Dem jeweiligen Ausschuss bleibt die Entscheidung darüber vorbehalten. Der Beschluss darüber, ob eine Sitzung des Ausschusses als hybride Sitzung durchgeführt werden soll, ist mit einfacher Mehrheit zu fassen. Die Beschlussfassung soll so rechtzeitig gefasst werden, dass § 47 Absatz 2 gewahrt werden kann. § 47a Absatz 2 Satz 3 und Absatz 4 gilt entsprechend.</w:t>
      </w:r>
    </w:p>
    <w:p>
      <w:r>
        <w:rPr>
          <w:color w:val="555555"/>
          <w:sz w:val="17"/>
        </w:rPr>
        <w:t xml:space="preserve">Zitiervorschlag: § 58a NW_28849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https://recht.nulegal.eu/gesetze/NW_28849/58a</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