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NW_28849 (Nordrhein-Westfalen) — Niederschrift der Ratsbeschlüsse</w:t>
      </w:r>
    </w:p>
    <w:p>
      <w:r>
        <w:rPr>
          <w:color w:val="555555"/>
          <w:sz w:val="18"/>
        </w:rPr>
        <w:t xml:space="preserve">GO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 die im Rat gefaßten Beschlüsse ist eine Niederschrift aufzunehmen. Diese wird vom Bürgermeister und einem vom Rat zu bestellenden Schriftführer unterzeichnet.</w:t>
      </w:r>
    </w:p>
    <w:p>
      <w:r>
        <w:t xml:space="preserve">(2) Der wesentliche Inhalt der Beschlüsse soll in öffentlicher Sitzung oder in anderer geeigneter Weise der Öffentlichkeit zugänglich gemacht werden, soweit nicht im Einzelfall etwas anderes beschlossen wird.</w:t>
      </w:r>
    </w:p>
    <w:p>
      <w:r>
        <w:rPr>
          <w:color w:val="555555"/>
          <w:sz w:val="17"/>
        </w:rPr>
        <w:t xml:space="preserve">Zitiervorschlag: § 52 NW_28849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https://recht.nulegal.eu/gesetze/NW_28849/52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