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NW_28849 (Nordrhein-Westfalen) — Beschlußfähigkeit des Rates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ist beschlußfähig, wenn mehr als die Hälfte der gesetzlichen Mitgliederzahl anwesend ist. Er gilt als beschlußfähig, solange seine Beschlußunfähigkeit nicht festgestellt ist.</w:t>
      </w:r>
    </w:p>
    <w:p>
      <w:r>
        <w:t xml:space="preserve">(2) Ist eine Angelegenheit wegen Beschlußunfähigkeit zurückgestellt worden und wird der Rat zur Verhandlung über denselben Gegenstand einberufen, so ist er ohne Rücksicht auf die Zahl der Erschienenen beschlußfähig. Bei der zweiten Ladung muß auf diese Bestimmung ausdrücklich hingewiesen werden.</w:t>
      </w:r>
    </w:p>
    <w:p>
      <w:r>
        <w:rPr>
          <w:color w:val="555555"/>
          <w:sz w:val="17"/>
        </w:rPr>
        <w:t xml:space="preserve">Zitiervorschlag: § 49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