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47a NW_28849 (Nordrhein-Westfalen) — Einberufung von Sitzungen in besonderen Ausnahmefällen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besonderen Ausnahmefällen wie Katastrophen, einer epidemischen Lage oder anderen außergewöhnlichen Notsituationen kann die Durchführung von Sitzungen des Rats, der Ausschüsse und der Bezirksvertretungen in digitaler Form erfolgen, sofern die dafür erforderlichen Voraussetzungen erfüllt sind (digitale Sitzung).</w:t>
      </w:r>
    </w:p>
    <w:p>
      <w:r>
        <w:t xml:space="preserve">(2) Bei einer digitalen Sitzung nehmen alle Gremienmitglieder ohne persönliche Anwesenheit am Sitzungsort unter Einsatz technischer Hilfsmittel durch zeitgleiche Bild-Ton-Übertragung an der Sitzung teil. Bei einer digitalen Sitzung gelten per Bild-Ton-Übertragung teilnehmende Gremienmitglieder als anwesend im Sinne von § 49 Absatz 1 Satz 1. Einer digitalen Sitzung steht eine hybrid durchgeführte Sitzung gleich, in der Gremienmitglieder teils persönlich anwesend und teils ohne persönliche Anwesenheit an der Sitzung teilnehmen, während die Sitzungsleitung am Sitzungsort anwesend ist.</w:t>
      </w:r>
    </w:p>
    <w:p>
      <w:r>
        <w:t xml:space="preserve">(3) Dem Rat bleibt die Feststellung eines Ausnahmefalls nach Absatz 1 und die Entscheidung darüber vorbehalten, ob infolge dessen digitale oder hybride Sitzungen durchgeführt werden. Der Beschluss darüber ist mit zwei Dritteln seiner Mitglieder, längstens für einen Zeitraum von zwei Monaten, zu fassen. Die Stimmabgaben können in Textform erfolgen. Die Beschlussfassung soll so rechtzeitig gefasst werden, dass die Frist des § 47 Absatz 2 Satz 1 gewahrt werden kann. Die Verlängerung ist bei einem weiteren Andauern des besonderen Ausnahmefalles möglich. Für den Beschluss über eine Verlängerung gilt Satz 2 entsprechend.</w:t>
      </w:r>
    </w:p>
    <w:p>
      <w:r>
        <w:t xml:space="preserve">(4) Die Durchführung von digitalen und hybriden Sitzungen ist nur zulässig, wenn und soweit die erforderlichen technischen Voraussetzungen für ihre Durchführung vorliegen und jedes Gremienmitglied über eine digitale Zugangsmöglichkeit zur Sitzung verfügt. Für die digitalen und hybriden Sitzungen dürfen nur die Anwendungen verwendet werden, die von der für die Zertifizierung zuständigen Stelle zugelassen sind. Die Gemeinde hat in ihrem Verantwortungsbereich dafür Sorge zu tragen, dass die technischen Voraussetzungen während der Sitzung durchgehend bestehen; die Gremienmitglieder stellen ihre Sitzungsteilnahme per Bild-Ton-Übertragung in eigener Verantwortung sicher.</w:t>
      </w:r>
    </w:p>
    <w:p>
      <w:r>
        <w:t xml:space="preserve">(5) Bei digitalen Sitzungen wird der Öffentlichkeitsgrundsatz über die Bild-Ton-Übertragung der Sitzung gewahrt. Die Herstellung der Öffentlichkeit nach Satz 1 erfolgt über die Bereitstellung eines geschützten Zugangs zur digitalen Sitzung. § 48 Absatz 4 gilt entsprechend.</w:t>
      </w:r>
    </w:p>
    <w:p>
      <w:r>
        <w:rPr>
          <w:color w:val="555555"/>
          <w:sz w:val="17"/>
        </w:rPr>
        <w:t xml:space="preserve">Zitiervorschlag: § 47a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https://recht.nulegal.eu/gesetze/NW_28849/47a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