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NW_28849 (Nordrhein-Westfalen) — Entschädigung der Ratsmitglieder</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Ratsmitglieder sowie die Mitglieder der Ausschüsse und Bezirksvertretungen haben Anspruch auf eine angemessene Aufwandsentschädigung und auf Ersatz des Verdienstausfalles, der ihnen durch die Mandatsausübung entsteht, soweit sie während der Arbeitszeit erforderlich ist. Personen, die nicht oder weniger als 20 Stunden pro Woche erwerbstätig sind, jedoch einen Haushalt von mindestens zwei Personen, wovon eine Person ein pflege- oder betreuungsbedürftiger Angehöriger ist, oder einen Haushalt von mindestens drei Personen führen, erhalten anstelle des Verdienstausfalls eine Entschädigung in Form eines Stundenpauschalsatzes. Aufwendungen für die entgeltliche Betreuung von pflege- oder betreuungsbedürftigen Angehörigen während der Ausübung des Mandats werden erstattet.</w:t>
      </w:r>
    </w:p>
    <w:p>
      <w:r>
        <w:t xml:space="preserve">(2) Der Rat kann in der Hauptsatzung beschließen, dass den Ratsmitgliedern sowie den Mitgliedern der Ausschüsse und Bezirksvertretungen zusätzlich zu den Ansprüchen nach Absatz 1 Auslagenersatz sowie sonstige Leistungen gewährt werden, soweit diese nicht durch Rechtsverordnung geregelt sind und einen unmittelbaren Bezug zur Mandatsausübung aufweisen.</w:t>
      </w:r>
    </w:p>
    <w:p>
      <w:r>
        <w:t xml:space="preserve">(3) Die Absätze 1 und 2 sind auch auf Fraktionssitzungen anzuwenden. Fraktionssitzungen sind auch Sitzungen von Teilen einer Fraktion wie Fraktionsvorstand und Fraktionsarbeitskreise. Die Zahl der ersatzpflichtigen Fraktionssitzungen pro Jahr ist in der Hauptsatzung zu beschränken.</w:t>
      </w:r>
    </w:p>
    <w:p>
      <w:r>
        <w:t xml:space="preserve">(4) Auf die Aufwandsentschädigung kann nicht verzichtet werden. Der Anspruch auf Aufwandsentschädigung ist nicht übertragbar. Wird das Mandat länger als drei Monate nicht wahrgenommen, kann eine Aufwandsentschädigung für die Zeit der andauernden Nichtausübung des Mandats nicht beansprucht werden, es sei denn, das Mitglied hat die Nichtausübung nicht zu vertreten.</w:t>
      </w:r>
    </w:p>
    <w:p>
      <w:r>
        <w:rPr>
          <w:color w:val="555555"/>
          <w:sz w:val="17"/>
        </w:rPr>
        <w:t xml:space="preserve">Zitiervorschlag: § 45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