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NW_28849 (Nordrhein-Westfalen) — Wahl der Ratsmitglieder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Ratsmitglieder werden von den Bürgern in allgemeiner, unmittelbarer, freier, gleicher und geheimer Wahl für die Dauer von fünf Jahren gewählt. Die näheren Vorschriften trifft das Kommunalwahlgesetz.</w:t>
      </w:r>
    </w:p>
    <w:p>
      <w:r>
        <w:t xml:space="preserve">(2) Nach Ablauf der Wahlperiode üben die bisherigen Ratsmitglieder ihre Tätigkeit bis zum Zusammentritt des neugewählten Rates weiter aus.</w:t>
      </w:r>
    </w:p>
    <w:p>
      <w:r>
        <w:rPr>
          <w:color w:val="555555"/>
          <w:sz w:val="17"/>
        </w:rPr>
        <w:t xml:space="preserve">Zitiervorschlag: § 42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