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NW_28849 (Nordrhein-Westfalen) — Zusätzliche Aufgaben kreisangehöriger Gemeinden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Mittleren kreisangehörigen Städten nach Absatz 2 und Großen kreisangehörigen Städten nach Absatz 3 können neben den Aufgaben nach den §§ 2 und 3 zusätzliche Aufgaben durch Gesetz oder Rechtsverordnung übertragen werden.</w:t>
      </w:r>
    </w:p>
    <w:p>
      <w:r>
        <w:t xml:space="preserve">(2) Eine kreisangehörige Gemeinde ist auf eigenen Antrag zur Mittleren kreisangehörigen Stadt zu bestimmen, wenn ihre maßgebliche Einwohnerzahl an drei aufeinanderfolgenden Stichtagen mehr als 20 000 Einwohner beträgt. Sie ist von Amts wegen zur Mittleren kreisangehörigen Stadt zu bestimmen, wenn ihre maßgebliche Einwohnerzahl an fünf aufeinanderfolgenden Stichtagen mehr als 25 000 Einwohner beträgt. Der maßgebliche Stichtag ergibt sich aus Absatz 7.</w:t>
      </w:r>
    </w:p>
    <w:p>
      <w:r>
        <w:t xml:space="preserve">(3) Eine kreisangehörige Gemeinde ist auf eigenen Antrag zur Großen kreisangehörigen Stadt zu bestimmen, wenn ihre maßgebliche Einwohnerzahl an drei aufeinanderfolgenden Stichtagen mehr als 50 000 Einwohner beträgt. Sie ist von Amts wegen zur Großen kreisangehörigen Stadt zu bestimmen, wenn ihre maßgebliche Einwohnerzahl an fünf aufeinanderfolgenden Stichtagen mehr als 60 000 Einwohner beträgt. Der maßgebliche Stichtag ergibt sich aus Absatz 7.</w:t>
      </w:r>
    </w:p>
    <w:p>
      <w:r>
        <w:t xml:space="preserve">(4) Eine Große kreisangehörige Stadt ist auf eigenen Antrag zur Mittleren kreisangehörigen Stadt zu bestimmen, wenn ihre maßgebliche Einwohnerzahl an fünf aufeinanderfolgenden Stichtagen weniger als 50 000 Einwohner beträgt. Sie ist von Amts wegen zur Mittleren kreisangehörigen Stadt zu bestimmen, wenn ihre maßgebliche Einwohnerzahl an fünf aufeinanderfolgenden Stichtagen weniger als 45 000 Einwohner beträgt. Der maßgebliche Stichtag ergibt sich aus Absatz 7.</w:t>
      </w:r>
    </w:p>
    <w:p>
      <w:r>
        <w:t xml:space="preserve">(5) Eine Mittlere kreisangehörige Stadt oder eine Große kreisangehörige Stadt ist auf eigenen Antrag in der Rechtsverordnung nach Absatz 6 zu streichen, wenn ihre maßgebliche Einwohnerzahl an fünf aufeinanderfolgenden Stichtagen weniger als 20 000 Einwohner beträgt. Sie ist von Amts wegen in der Rechtsverordnung nach Absatz 6 zu streichen, wenn ihre maßgebliche Einwohnerzahl an fünf aufeinanderfolgenden Stichtagen weniger als 15 000 Einwohner beträgt. Der maßgebliche Stichtag ergibt sich aus Absatz 7.</w:t>
      </w:r>
    </w:p>
    <w:p>
      <w:r>
        <w:t xml:space="preserve">(6) Über Anträge nach den Absätzen 2 bis 5 entscheidet das für Kommunales zuständige Ministerium. Ihnen ist zu entsprechen, wenn zwingende übergeordnete Interessen nicht entgegenstehen. Die Bestimmung kreisangehöriger Gemeinden zur Mittleren oder Großen kreisangehörigen Stadt erfolgt durch Rechtsverordnung der Landesregierung. Änderungen dieser Rechtsverordnung treten zum 1. Januar des auf die Verkündung folgenden übernächsten Kalenderjahres in Kraft.</w:t>
      </w:r>
    </w:p>
    <w:p>
      <w:r>
        <w:t xml:space="preserve">(7) Maßgeblich ist die auf den 31. Dezember eines jeden Jahres fortgeschriebene Bevölkerungszahl (Stichtag), die von dem Landesbetrieb Information und Technik Nordrhein-Westfalen veröffentlicht wird.</w:t>
      </w:r>
    </w:p>
    <w:p>
      <w:r>
        <w:t xml:space="preserve">(8) Eine Gemeinde kann nach den §§ 23 bis 26 des Gesetzes über kommunale Gemeinschaftsarbeit</w:t>
      </w:r>
    </w:p>
    <w:p>
      <w:r>
        <w:t xml:space="preserve">1. mit einer oder mehreren Gemeinden vereinbaren, eine oder mehrere Aufgaben nach Absatz 1 in der Form gemeinsam wahrzunehmen, dass eine der Gemeinden die Aufgabe übernimmt oder für die übrigen Beteiligten durchführt, oder</w:t>
      </w:r>
    </w:p>
    <w:p>
      <w:r>
        <w:t xml:space="preserve">2. als Mittlere oder Große kreisangehörige Stadt mit dem Kreis vereinbaren, dass eine oder mehrere ihr nach Absatz 1 übertragene Aufgaben von dem Kreis übernommen werden.</w:t>
      </w:r>
    </w:p>
    <w:p>
      <w:r>
        <w:t xml:space="preserve">In den Fällen des Satzes 1 Nummer 1 muss die Summe der Einwohnerzahl der beteiligten Gemeinden die jeweilige Einwohnerzahl des Absatzes 2 Satz 1 oder des Absatzes 3 Satz 1 überschreiten (additiver Schwellenwert). Die Gemeinde gilt insoweit als Mittlere oder Große kreisangehörige Stadt. Die Absätze 4 und 5 gelten entsprechend. Soweit durch die Vereinbarung Aufgaben vom Kreis auf die Gemeinde übergehen, ist das Benehmen mit dem abgebenden Kreis erforderlich. Der Kreis gilt insoweit als Beteiligter im Sinne von § 29 Absatz 4 des Gesetzes über kommunale Gemeinschaftsarbeit. § 3 Absatz 6 gilt entsprechend.</w:t>
      </w:r>
    </w:p>
    <w:p>
      <w:r>
        <w:rPr>
          <w:color w:val="555555"/>
          <w:sz w:val="17"/>
        </w:rPr>
        <w:t xml:space="preserve">Zitiervorschlag: § 4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