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NW_28849 (Nordrhein-Westfalen) — Bezirksvertretungen in den kreisfreien Städten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Stadtbezirk ist eine Bezirksvertretung zu wählen. Die Mitglieder der Bezirksvertretungen werden in allgemeiner, unmittelbarer, freier, gleicher und geheimer Wahl auf die Dauer von fünf Jahren gewählt. Die näheren Vorschriften trifft das Kommunalwahlgesetz. Nach Ablauf der Wahlperiode üben die bisherigen Mitglieder der Bezirksvertretungen ihre Tätigkeit bis zum Zusammentritt der neugewählten Bezirksvertretung weiter aus.</w:t>
      </w:r>
    </w:p>
    <w:p>
      <w:r>
        <w:t xml:space="preserve">(2) Die Bezirksvertretung besteht aus mindestens elf und höchstens neunzehn Mitgliedern einschließlich des Vorsitzenden. Der Vorsitzende führt die Bezeichnung Bezirksvorsteher. Der Rat kann beschließen, dass der Bezirksvorsteher die Bezeichnung Bezirksbürgermeister führt. Die Mitgliederzahlen können nach den Einwohnerzahlen der Stadtbezirke gestaffelt werden; die Gesamtzahl der Mitglieder muß ungerade sein. Das Nähere regelt die Hauptsatzung.</w:t>
      </w:r>
    </w:p>
    <w:p>
      <w:r>
        <w:t xml:space="preserve">(3) Nach Beginn der Wahlperiode der Bezirksvertretung muss die erste Sitzung innerhalb von sechs Wochen stattfinden, spätestens jedoch drei Monate nach der Wahl; dazu beruft der bisherige Bezirksvorsteher die Bezirksvertretung ein. Die Bezirksvertretung wählt aus ihrer Mitte ohne Aussprache den Bezirksvorsteher und einen oder mehrere Stellvertreter. § 67 Abs. 2 bis 5 findet entsprechende Anwendung. Der Bezirksvorsteher und die Stellvertreter dürfen nicht zugleich Bürgermeister oder Stellvertreter des Bürgermeisters sein.</w:t>
      </w:r>
    </w:p>
    <w:p>
      <w:r>
        <w:t xml:space="preserve">(4) Der Bezirksvorsteher kann neben den Entschädigungen, die ihm als Mitglied der Bezirksvertretung zustehen, eine in der Hauptsatzung festzusetzende Aufwandsentschädigung erhalten. Für Stellvertreter des Bezirksvorstehers sowie für Fraktionsvorsitzende können in der Hauptsatzung entsprechende Regelungen getroffen werden. Das für Kommunales zuständige Ministerium bestimmt durch Rechtsverordnung die Höhe der Aufwandsentschädigung.</w:t>
      </w:r>
    </w:p>
    <w:p>
      <w:r>
        <w:t xml:space="preserve">(5) Die Bezirksvertretungen dürfen keine Ausschüsse bilden. Auf die Mitglieder der Bezirksvertretungen und das Verfahren in den Bezirksvertretungen finden die für den Rat geltenden Vorschriften mit der Maßgabe entsprechende Anwendung, daß die Geschäftsordnung des Rates besondere Regelungen für die Bezirksvertretungen enthält und in Fällen äußerster Dringlichkeit der Bezirksvorsteher mit einem Mitglied der Bezirksvertretung entscheiden kann; § 60 Abs. 1 Satz 1 und Absatz 2 findet keine Anwendung. Abweichend von § 48 Abs. 1 Satz 4 brauchen Zeit und Ort der Sitzungen der Bezirksvertretungen sowie die Tagesordnung nicht öffentlich bekannt gemacht zu werden; der Oberbürgermeister soll die Öffentlichkeit hierüber vorher in geeigneter Weise unterrichten. Zu einzelnen Punkten der Tagesordnung können Sachverständige und Einwohner gehört werden. § 58a findet entsprechende Anwendung.</w:t>
      </w:r>
    </w:p>
    <w:p>
      <w:r>
        <w:t xml:space="preserve">(6) Die nicht der Bezirksvertretung als ordentliche Mitglieder angehörenden Ratsmitglieder, die in dem Stadtbezirk wohnen oder dort kandidiert haben, haben das Recht, an den Sitzungen der Bezirksvertretung mit beratender Stimme teilzunehmen. Zu diesem Zweck sind der Oberbürgermeister und diese Ratsmitglieder wie die ordentlichen Mitglieder der Bezirksvertretung zu deren Sitzungen zu laden. Die übrigen Ratsmitglieder und Ausschußmitglieder können nach Maßgabe der Geschäftsordnung an nichtöffentlichen Sitzungen als Zuhörer teilnehmen. Die Teilnahme an Sitzungen als Zuhörer begründet keinen Anspruch auf Ersatz des Verdienstausfalls und auf Zahlung von Sitzungsgeld.</w:t>
      </w:r>
    </w:p>
    <w:p>
      <w:r>
        <w:t xml:space="preserve">(7) Der Oberbürgermeister ist berechtigt und auf Verlangen einer Bezirksvertretung verpflichtet, an den Sitzungen der Bezirksvertretung mit beratender Stimme teilzunehmen; ihm ist auf Verlangen jederzeit das Wort zu erteilen. Er kann sich von einem Beigeordneten oder einer anderen leitenden Dienstkraft vertreten lassen. Das Nähere regelt die Hauptsatzung.</w:t>
      </w:r>
    </w:p>
    <w:p>
      <w:r>
        <w:rPr>
          <w:color w:val="555555"/>
          <w:sz w:val="17"/>
        </w:rPr>
        <w:t xml:space="preserve">Zitiervorschlag: § 36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