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NW_28849 (Nordrhein-Westfalen) — Ehrenbürgerrecht und Ehrenbezeichnung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 kann Persönlichkeiten, die sich um sie besonders verdient gemacht haben, das Ehrenbürgerrecht verleihen. Sie kann langjährigen Ratsmitgliedern, Bürgermeisterinnen oder Bürgermeistern und Ehrenbeamten nach ihrem Ausscheiden eine Ehrenbezeichnung verleihen.</w:t>
      </w:r>
    </w:p>
    <w:p>
      <w:r>
        <w:t xml:space="preserve">(2) Beschlüsse über die Verleihung oder die Entziehung des Ehrenbürgerrechts und über die Entziehung einer Ehrenbezeichnung fasst der Rat mit einer Mehrheit von zwei Dritteln der gesetzlichen Zahl der Mitglieder.</w:t>
      </w:r>
    </w:p>
    <w:p>
      <w:r>
        <w:t xml:space="preserve">4. Teil</w:t>
      </w:r>
    </w:p>
    <w:p>
      <w:r>
        <w:t xml:space="preserve">Bezirke und Ortschaften</w:t>
      </w:r>
    </w:p>
    <w:p>
      <w:r>
        <w:rPr>
          <w:color w:val="555555"/>
          <w:sz w:val="17"/>
        </w:rPr>
        <w:t xml:space="preserve">Zitiervorschlag: § 34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