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26a NW_28849 (Nordrhein-Westfalen) — Transparenzpflichten bei Bürgerbegehren und Bürgerentscheid</w:t>
      </w:r>
    </w:p>
    <w:p>
      <w:r>
        <w:rPr>
          <w:color w:val="555555"/>
          <w:sz w:val="18"/>
        </w:rPr>
        <w:t xml:space="preserve">GO NRW</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Unterlagen zur Einreichung eines Bürgerbegehrens müssen eine Erklärung darüber enthalten, ob und in welcher Gesamthöhe die nach § 26 Absatz 2 Satz 2 genannten Vertretungsberechtigten Zuwendungen von Dritten für die Vorbereitung und Durchführung des Bürgerbegehrens erhalten oder eigene Mittel dafür eingesetzt haben. Zuwendungen eines einzelnen Zuwenders für den Zweck der Vorbereitung und Durchführung des Bürgerbegehrens, deren Gesamtwert 10.000 Euro übersteigt, sind unter Angabe des Namens und der Anschrift des Zuwenders sowie der Gesamthöhe der Zuwendung anzugeben.</w:t>
      </w:r>
    </w:p>
    <w:p>
      <w:r>
        <w:t xml:space="preserve">(2) Erhalten die Vertretungsberechtigten des Bürgerbegehrens nach Antragstellung eine Zuwendung, die alleine oder zusammen mit weiteren Zuwendungen dieses Zuwenders den Gesamtwert von 10.000 Euro übersteigt, teilen die Vertretungsberechtigten dies dem Bürgermeister unverzüglich mit. Wird über die Frage des Bürgerbegehrens ein Bürgerentscheid durchgeführt, besteht die Mitteilungspflicht bis zu dessen Abschluss fort.</w:t>
      </w:r>
    </w:p>
    <w:p>
      <w:r>
        <w:t xml:space="preserve">(3) Im Falle der Durchführung eines Bürgerentscheids veröffentlicht der Bürgermeister die Erklärungen und Mitteilungen der Vertretungsberechtigten 16 Tage vor dem Bürgerentscheid über eine öffentliche Bekanntmachung. Sofern nach dieser Frist weitere Erklärungen und Mitteilungen eingehen, veröffentlicht sie der Bürgermeister in geeigneter Weise spätestens am Tag vor dem Bürgerentscheid. In Fällen nach Satz 2 ist eine vereinfachte Bekanntmachung möglich.</w:t>
      </w:r>
    </w:p>
    <w:p>
      <w:r>
        <w:t xml:space="preserve">(4) Die Vertretungsberechtigten versichern bei der Einreichung eines Bürgerbegehrens an Eides statt, dass der Mitteilungspflicht vollständig und richtig nachgekommen worden ist. Wird über die Frage des Bürgerbegehrens ein Bürgerentscheid durchgeführt, müssen die Vertretungsberechtigten 16 Tage vor dem Entscheid die Erklärung an Eides statt erneuern.</w:t>
      </w:r>
    </w:p>
    <w:p>
      <w:r>
        <w:rPr>
          <w:color w:val="555555"/>
          <w:sz w:val="17"/>
        </w:rPr>
        <w:t xml:space="preserve">Zitiervorschlag: § 26a NW_28849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https://recht.nulegal.eu/gesetze/NW_28849/26a</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