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NW_28849 (Nordrhein-Westfalen) — Gebietsänderungen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 Gründen des öffentlichen Wohls können Gemeindegrenzen geändert, Gemeinden aufgelöst oder neugebildet werden.</w:t>
      </w:r>
    </w:p>
    <w:p>
      <w:r>
        <w:t xml:space="preserve">(2) Werden durch die Änderung von Gemeindegrenzen die Grenzen von Gemeindeverbänden berührt, so bewirkt die Änderung der Gemeindegrenzen unmittelbar auch die Änderung der Gemeindeverbandsgrenzen.</w:t>
      </w:r>
    </w:p>
    <w:p>
      <w:r>
        <w:rPr>
          <w:color w:val="555555"/>
          <w:sz w:val="17"/>
        </w:rPr>
        <w:t xml:space="preserve">Zitiervorschlag: § 17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