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NW_28849 (Nordrhein-Westfalen) — Siegel, Wappen und Flaggen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führen Dienstsiegel.</w:t>
      </w:r>
    </w:p>
    <w:p>
      <w:r>
        <w:t xml:space="preserve">(2) Die Gemeinden führen ihre bisherigen Wappen und Flaggen.</w:t>
      </w:r>
    </w:p>
    <w:p>
      <w:r>
        <w:t xml:space="preserve">(3) Die Änderung und die Einführung von Dienstsiegeln, Wappen und Flaggen bedürfen der Genehmigung der Aufsichtsbehörde.</w:t>
      </w:r>
    </w:p>
    <w:p>
      <w:r>
        <w:t xml:space="preserve">2. Teil</w:t>
      </w:r>
    </w:p>
    <w:p>
      <w:r>
        <w:t xml:space="preserve">Gemeindegebiet</w:t>
      </w:r>
    </w:p>
    <w:p>
      <w:r>
        <w:rPr>
          <w:color w:val="555555"/>
          <w:sz w:val="17"/>
        </w:rPr>
        <w:t xml:space="preserve">Zitiervorschlag: § 14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