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133 NW_28849 (Nordrhein-Westfalen) — Ausführung des Gesetzes</w:t>
      </w:r>
    </w:p>
    <w:p>
      <w:r>
        <w:rPr>
          <w:color w:val="555555"/>
          <w:sz w:val="18"/>
        </w:rPr>
        <w:t xml:space="preserve">GO NRW</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Das für Kommunales zuständige Ministerium wird ermächtigt, im Einvernehmen mit dem für Finanzen zuständigen Ministerium zur Durchführung dieses Gesetzes durch Rechtsverordnung zu regeln:</w:t>
      </w:r>
    </w:p>
    <w:p>
      <w:r>
        <w:t xml:space="preserve">1. Inhalt und Gestaltung des Haushaltsplans, der mittelfristigen Ergebnis- und Finanzplanung sowie die Haushaltsführung und die Haushaltsüberwachung; dabei kann es bestimmen, dass Einzahlungen und Auszahlungen, für die ein Dritter Kostenträger ist oder die von einer zentralen Stelle ausgezahlt werden, nicht im Haushalt der Gemeinde abgewickelt werden,</w:t>
      </w:r>
    </w:p>
    <w:p>
      <w:r>
        <w:t xml:space="preserve">2. die Veranschlagung von Erträgen, Aufwendungen sowie Einzahlungen und Auszahlungen und Verpflichtungsermächtigungen, die Bildung von Budgets sowie den Ausweis von Zielen und Kennzahlen,</w:t>
      </w:r>
    </w:p>
    <w:p>
      <w:r>
        <w:t xml:space="preserve">3. Inhalt und Umfang von Abschreibungen, die Bildung von Rückstellungen und von Rücklagen sowie deren Mindesthöhe und Verwendung,</w:t>
      </w:r>
    </w:p>
    <w:p>
      <w:r>
        <w:t xml:space="preserve">4. die Erfassung, den Nachweis, die Bewertung und die Fortschreibung der Vermögensgegenstände und der Schulden,</w:t>
      </w:r>
    </w:p>
    <w:p>
      <w:r>
        <w:t xml:space="preserve">5. die Geldanlagen und ihre Sicherung,</w:t>
      </w:r>
    </w:p>
    <w:p>
      <w:r>
        <w:t xml:space="preserve">6. die Ausschreibung von Lieferungen und Leistungen sowie die Vergabe von Aufträgen einschließlich des Abschlusses von Verträgen,</w:t>
      </w:r>
    </w:p>
    <w:p>
      <w:r>
        <w:t xml:space="preserve">7. die Stundung, die Niederschlagung und den Erlass von Ansprüchen sowie die Behandlung von Kleinbeträgen,</w:t>
      </w:r>
    </w:p>
    <w:p>
      <w:r>
        <w:t xml:space="preserve">8. Inhalt, Gestaltung, Prüfung und Aufbewahrung des Jahresabschlusses und des Gesamtabschlusses,</w:t>
      </w:r>
    </w:p>
    <w:p>
      <w:r>
        <w:t xml:space="preserve">9. die Aufgaben und die Organisation der Finanzbuchhaltung, deren Beaufsichtigung und Prüfung sowie die ordnungsgemäße Abwicklung der Buchführung und des Zahlungsverkehrs, einschließlich ihrer Grundsätze und Verfahren,</w:t>
      </w:r>
    </w:p>
    <w:p>
      <w:r>
        <w:t xml:space="preserve">10. die erstmalige Bewertung von Vermögen und Schulden und die Aufstellung, Prüfung und Aufbewahrung der Eröffnungsbilanz sowie die Vereinfachungsverfahren und Wertberichtigungen,</w:t>
      </w:r>
    </w:p>
    <w:p>
      <w:r>
        <w:t xml:space="preserve">11. die zeitliche Aufbewahrung von Büchern, Belegen und sonstigen Unterlagen,</w:t>
      </w:r>
    </w:p>
    <w:p>
      <w:r>
        <w:t xml:space="preserve">12. Aufbau und Verwaltung, Wirtschaftsführung, Rechnungswesen und Prüfung der Eigenbetriebe, deren Freistellung von diesen Vorschriften sowie das Wahlverfahren zur Aufstellung des Vorschlages der Versammlung der Beschäftigten für die Wahl von Beschäftigten als Mitglieder des Betriebsausschusses und ihrer Stellvertreter, ferner das Verfahren zur Bestimmung der Nachfolger im Falle des Ausscheidens dieser Mitglieder oder Stellvertreter vor Ablauf der Wahlperiode des Rates,</w:t>
      </w:r>
    </w:p>
    <w:p>
      <w:r>
        <w:t xml:space="preserve">13. das Verfahren bei der Errichtung der rechtsfähigen Anstalt des öffentlichen Rechts und deren Aufbau, die Verwaltung, die Wirtschaftsführung sowie das Rechnungs- und Prüfungswesen.</w:t>
      </w:r>
    </w:p>
    <w:p>
      <w:r>
        <w:t xml:space="preserve">(2) Das für Kommunales zuständige Ministerium erlässt die erforderlichen Verwaltungsvorschriften, insbesondere für</w:t>
      </w:r>
    </w:p>
    <w:p>
      <w:r>
        <w:t xml:space="preserve">1. die Gliederung des Haushaltsplans in Produktbereiche,</w:t>
      </w:r>
    </w:p>
    <w:p>
      <w:r>
        <w:t xml:space="preserve">2. die Kontierung von Erträgen und Aufwendungen im Ergebnisplan und in der Ergebnisrechnung,</w:t>
      </w:r>
    </w:p>
    <w:p>
      <w:r>
        <w:t xml:space="preserve">3. die Kontierung von Einzahlungen und Auszahlungen im Finanzplan und in der Finanzrechnung,</w:t>
      </w:r>
    </w:p>
    <w:p>
      <w:r>
        <w:t xml:space="preserve">4. Verfahren zur Ermittlung von Wertansätzen und deren Kontierung in der Bilanz,</w:t>
      </w:r>
    </w:p>
    <w:p>
      <w:r>
        <w:t xml:space="preserve">5. die Einrichtung und Zuordnung von Konten für die Finanzbuchhaltung,</w:t>
      </w:r>
    </w:p>
    <w:p>
      <w:r>
        <w:t xml:space="preserve">6. die Ausgestaltung von Sicherheitsstandards für die Finanzbuchhaltung,</w:t>
      </w:r>
    </w:p>
    <w:p>
      <w:r>
        <w:t xml:space="preserve">7. die Festlegung von Nutzungsdauern für Vermögensgegenstände,</w:t>
      </w:r>
    </w:p>
    <w:p>
      <w:r>
        <w:t xml:space="preserve">8. Verfahren zur Ermittlung von Wertansätzen für Vermögen und Schulden in der Eröffnungsbilanz,</w:t>
      </w:r>
    </w:p>
    <w:p>
      <w:r>
        <w:t xml:space="preserve">9. Inhalt und Gestaltung von Prüfungsberichten.</w:t>
      </w:r>
    </w:p>
    <w:p>
      <w:r>
        <w:t xml:space="preserve">(3) Das für Kommunales zuständige Ministerium gibt, soweit es für die Vergleichbarkeit der Haushalte erforderlich ist, durch Verwaltungsvorschrift Muster insbesondere für</w:t>
      </w:r>
    </w:p>
    <w:p>
      <w:r>
        <w:t xml:space="preserve">1. die Haushaltssatzung und ihre Bekanntmachung,</w:t>
      </w:r>
    </w:p>
    <w:p>
      <w:r>
        <w:t xml:space="preserve">2. die Beschreibung und Gliederung der Produktbereiche und Produktgruppen sowie die Gestaltung des Haushaltsplanes und des Finanzplanes,</w:t>
      </w:r>
    </w:p>
    <w:p>
      <w:r>
        <w:t xml:space="preserve">3. die Form des Haushaltsplanes und seiner Anlagen und des Finanzplanes,</w:t>
      </w:r>
    </w:p>
    <w:p>
      <w:r>
        <w:t xml:space="preserve">4. die Form der Anlagenübersicht, der Forderungsübersicht, der Eigenkapitalübersicht und der Verbindlichkeitenübersicht,</w:t>
      </w:r>
    </w:p>
    <w:p>
      <w:r>
        <w:t xml:space="preserve">5. die Zahlungsanordnungen, Buchführung, den Kontenrahmen, den Jahresabschluss und den Gesamtabschluss und ihren jeweiligen Anlagen und</w:t>
      </w:r>
    </w:p>
    <w:p>
      <w:r>
        <w:t xml:space="preserve">6. den Beteiligungsbericht</w:t>
      </w:r>
    </w:p>
    <w:p>
      <w:r>
        <w:t xml:space="preserve">im Ministerialblatt für das Land Nordrhein-Westfalen bekannt. Die Gemeinden sind verpflichtet, diese Muster zu verwenden. Die Bekanntgabe von Mustern nach Satz 1 Nummer 2 und 3 erfolgt im Benehmen mit dem für Finanzen zuständigen Ministerium.</w:t>
      </w:r>
    </w:p>
    <w:p>
      <w:r>
        <w:t xml:space="preserve">(4) Das für Kommunales zuständige Ministerium wird ermächtigt, durch Rechtsverordnung im Benehmen mit dem für Kommunales zuständigen Ausschuss des Landtags und mit der oder dem Beauftragten der Landesregierung Nordrhein-Westfalen für Informationstechnik Vorschriften zur Verwirklichung der in § 47a Absatz 2 bis 5 bezeichneten Anforderungen zu erlassen. Dies betrifft insbesondere Vorgaben hinsichtlich der technischen und organisatorischen Umsetzung von Sitzungen in digitaler und in hybrider Form im Einzelnen, insbesondere bei Verfahren nach § 48 Absatz 2 Satz 2 bis 5 sowie § 50 Absatz 1 und 2, einschließlich datenschutzrechtlicher und informationssicherheitsrechtlicher Standards. Die Rechtsverordnung kann ferner eine juristische Person des öffentlichen Rechts als zuständige Stelle für die Zertifizierung nach § 47a Absatz 4 Satz 2 bestimmen und die für sie maßgeblichen Verfahren und Anforderungen näher festlegen.</w:t>
      </w:r>
    </w:p>
    <w:p>
      <w:r>
        <w:t xml:space="preserve">(5) Das für Kommunales zuständige Ministerium wird ermächtigt, durch Rechtsverordnung, nähere Vorschriften über die Voraussetzungen der Ansprüche nach § 45 Absatz 1 zu treffen und insbesondere die Höhe der zu gewährenden Aufwandsentschädigung durch Festlegung unter anderem von Regelstundensätzen, Höchstbeträgen, Monatspauschalen und Sitzungsgeldern festzusetzen.</w:t>
      </w:r>
    </w:p>
    <w:p>
      <w:r>
        <w:rPr>
          <w:color w:val="555555"/>
          <w:sz w:val="17"/>
        </w:rPr>
        <w:t xml:space="preserve">Zitiervorschlag: § 133 NW_28849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https://recht.nulegal.eu/gesetze/NW_28849/133</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