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NW_28849 (Nordrhein-Westfalen) — Anordnungsrecht und Ersatzvornahme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Erfüllt die Gemeinde die ihr kraft Gesetzes obliegenden Pflichten oder Aufgaben nicht, so kann die Aufsichtsbehörde anordnen, daß sie innerhalb einer bestimmten Frist das Erforderliche veranlaßt.</w:t>
      </w:r>
    </w:p>
    <w:p>
      <w:r>
        <w:t xml:space="preserve">(2) Kommt die Gemeinde der Anordnung der Aufsichtsbehörde nicht innerhalb der bestimmten Frist nach, so kann die Aufsichtsbehörde die Anordnung an Stelle und auf Kosten der Gemeinde selbst durchführen oder die Durchführung einem anderen übertragen.</w:t>
      </w:r>
    </w:p>
    <w:p>
      <w:r>
        <w:rPr>
          <w:color w:val="555555"/>
          <w:sz w:val="17"/>
        </w:rPr>
        <w:t xml:space="preserve">Zitiervorschlag: § 123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