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122 NW_28849 (Nordrhein-Westfalen) — Beanstandungs- und Aufhebungsrecht</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Aufsichtsbehörde kann den Bürgermeister anweisen, Beschlüsse des Rates und der Ausschüsse, die das geltende Recht verletzen, zu beanstanden (§ 54 Abs. 2 und 3). Sie kann solche Beschlüsse nach vorheriger Beanstandung durch den Bürgermeister und nochmaliger Beratung im Rat oder Ausschuß aufheben.</w:t>
      </w:r>
    </w:p>
    <w:p>
      <w:r>
        <w:t xml:space="preserve">(2) Die Aufsichtsbehörde kann Anordnungen des Bürgermeisters, die das geltende Recht verletzen, beim Rat beanstanden. Die Beanstandung ist schriftlich in Form einer begründeten Darlegung dem Rat mitzuteilen. Sie hat aufschiebende Wirkung. Billigt der Rat die Anordnungen des Bürgermeisters, so kann die Aufsichtsbehörde die Anordnung aufheben.</w:t>
      </w:r>
    </w:p>
    <w:p>
      <w:r>
        <w:rPr>
          <w:color w:val="555555"/>
          <w:sz w:val="17"/>
        </w:rPr>
        <w:t xml:space="preserve">Zitiervorschlag: § 122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https://recht.nulegal.eu/gesetze/NW_28849/122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