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116a NW_28849 (Nordrhein-Westfalen) — Größenabhängige Befreiungen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Gemeinde ist von der Pflicht, einen Gesamtabschluss und einen Gesamtlagebericht aufzustellen, befreit, wenn am Abschlussstichtag ihres Jahresabschlusses und am vorhergehenden Abschlussstichtag jeweils mindestens zwei der nachstehenden Merkmale zutreffen:</w:t>
      </w:r>
    </w:p>
    <w:p>
      <w:r>
        <w:t xml:space="preserve">1. die Bilanzsummen in den Bilanzen der Gemeinde und der einzubeziehenden verselbständigten Aufgabenbereiche nach § 116 Absatz 3 übersteigen insgesamt nicht mehr als 1 500 000 000 Euro,</w:t>
      </w:r>
    </w:p>
    <w:p>
      <w:r>
        <w:t xml:space="preserve">2. die der Gemeinde zuzurechnenden Erträge aller vollkonsolidierungspflichtigen verselbständigten Aufgabenbereiche nach § 116 Absatz 3 machen weniger als 50 Prozent der ordentlichen Erträge der Ergebnisrechnung der Gemeinde aus,</w:t>
      </w:r>
    </w:p>
    <w:p>
      <w:r>
        <w:t xml:space="preserve">3. die der Gemeinde zuzurechnenden Bilanzsummen aller vollkonsolidierungspflichtigen verselbständigten Aufgabenbereiche nach § 116 Absatz 3 machen insgesamt weniger als 50 Prozent der Bilanzsumme der Gemeinde aus.</w:t>
      </w:r>
    </w:p>
    <w:p>
      <w:r>
        <w:t xml:space="preserve">(2) Über das Vorliegen der Voraussetzungen für die Befreiung von der Pflicht zur Aufstellung eines Gesamtabschlusses entscheidet der Rat für jedes Haushaltsjahr bis zum 30. September des auf das Haushaltsjahr folgenden Jahres. Das Vorliegen der Voraussetzungen nach Absatz 1 ist gegenüber dem Rat anhand geeigneter Unterlagen nachzuweisen. Die Entscheidung des Rates ist der Aufsichtsbehörde jährlich mit der Anzeige des durch den Rat festgestellten Jahresabschlusses der Gemeinde vorzulegen.</w:t>
      </w:r>
    </w:p>
    <w:p>
      <w:r>
        <w:t xml:space="preserve">(3) Sofern eine Gemeinde von der größenabhängigen Befreiung im Zusammenhang mit der Erstellung eines Gesamtabschlusses Gebrauch macht, ist ein Beteiligungsbericht gemäß § 117 zu erstellen.“</w:t>
      </w:r>
    </w:p>
    <w:p>
      <w:r>
        <w:rPr>
          <w:color w:val="555555"/>
          <w:sz w:val="17"/>
        </w:rPr>
        <w:t xml:space="preserve">Zitiervorschlag: § 116a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https://recht.nulegal.eu/gesetze/NW_28849/116a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