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NW_28849 (Nordrhein-Westfalen) — Gesamtabschluss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in jedem Haushaltsjahr für den Abschlussstichtag 31. Dezember einen Gesamtabschluss aufzustellen. § 95 Absatz 1 gilt entsprechend.</w:t>
      </w:r>
    </w:p>
    <w:p>
      <w:r>
        <w:t xml:space="preserve">(2) Der Gesamtabschluss besteht aus</w:t>
      </w:r>
    </w:p>
    <w:p>
      <w:r>
        <w:t xml:space="preserve">1. der Gesamtergebnisrechnung,</w:t>
      </w:r>
    </w:p>
    <w:p>
      <w:r>
        <w:t xml:space="preserve">2. der Gesamtbilanz,</w:t>
      </w:r>
    </w:p>
    <w:p>
      <w:r>
        <w:t xml:space="preserve">3. dem Gesamtanhang,</w:t>
      </w:r>
    </w:p>
    <w:p>
      <w:r>
        <w:t xml:space="preserve">4. der Kapitalflussrechnung und</w:t>
      </w:r>
    </w:p>
    <w:p>
      <w:r>
        <w:t xml:space="preserve">5. dem Eigenkapitalspiegel.</w:t>
      </w:r>
    </w:p>
    <w:p>
      <w:r>
        <w:t xml:space="preserve">Darüber hinaus hat die Gemeinde einen Gesamtlagebericht aufzustellen.</w:t>
      </w:r>
    </w:p>
    <w:p>
      <w:r>
        <w:t xml:space="preserve">(3) Zum Zwecke der Aufstellung des Gesamtabschlusses sind die Jahresabschlüsse aller verselbständigten Aufgabenbereiche in öffentlich-rechtlicher oder privatrechtlicher Form mit dem Jahresabschluss der Gemeinde zu konsolidieren, sofern im Gesetz oder durch Rechtsverordnung nicht anderes bestimmt ist. Für mittelbare Beteiligungen gilt § 290 Absatz 3 des Handelsgesetzbuches entsprechend.</w:t>
      </w:r>
    </w:p>
    <w:p>
      <w:r>
        <w:t xml:space="preserve">(4) Auf den Gesamtabschluss sind, soweit seine Eigenart keine Abweichung bedingt oder im Gesetz oder durch Rechtsverordnung nichts anderes bestimmt ist, die Vorschriften über den gemeindlichen Jahresabschluss entsprechend anzuwenden.</w:t>
      </w:r>
    </w:p>
    <w:p>
      <w:r>
        <w:t xml:space="preserve">(5) Hat sich die Zusammensetzung der in den Gesamtabschluss einbezogenen verselbständigten Aufgabenbereiche gemäß Absatz 3 im Laufe des Haushaltsjahres wesentlich geändert, so sind in den Gesamtabschluss Angaben aufzunehmen, die es ermöglichen, die aufeinanderfolgenden Gesamtabschlüsse sinnvoll zu vergleichen.</w:t>
      </w:r>
    </w:p>
    <w:p>
      <w:r>
        <w:t xml:space="preserve">(6) Die in den Gesamtabschluss einzubeziehenden verselbständigten Aufgabenbereiche nach Absatz 3 haben der Gemeinde ihre Jahresabschlüsse einschließlich etwaig erstellter Lageberichte, und wenn eine Abschlussprüfung stattgefunden hat, die Prüfungsberichte sowie, wenn ein Zwischenabschluss aufzustellen ist, einen auf den Stichtag des Gesamtabschlusses aufgestellten Abschluss unverzüglich einzureichen. Die Gemeinde kann von jedem verselbständigten Aufgabenbereich nach Absatz 3 alle Aufklärungen und Nachweise verlangen, welche die Aufstellung des Gesamtabschlusses und des Gesamtlageberichtes erfordert.</w:t>
      </w:r>
    </w:p>
    <w:p>
      <w:r>
        <w:t xml:space="preserve">(7) Der Gesamtabschluss und der Gesamtlagebericht sind innerhalb der ersten neun Monate nach dem Abschlussstichtag aufzustellen, § 95 Absatz 5 findet für deren Aufstellung entsprechende Anwendung.</w:t>
      </w:r>
    </w:p>
    <w:p>
      <w:r>
        <w:t xml:space="preserve">(8) Für die Prüfung des Gesamtabschlusses und des Gesamtlageberichtes gilt § 59 Absatz 3 entsprechend. Der Rat bestätigt den geprüften Gesamtabschluss durch Beschluss; § 96 Absatz 1 Satz 1, 3 und 6 und Absatz 2 finden entsprechende Anwendung.</w:t>
      </w:r>
    </w:p>
    <w:p>
      <w:r>
        <w:rPr>
          <w:color w:val="555555"/>
          <w:sz w:val="17"/>
        </w:rPr>
        <w:t xml:space="preserve">Zitiervorschlag: § 116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