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NW_28849 (Nordrhein-Westfalen) — Vertretung der Gemeinde in Unternehmen oder Einrichtungen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Vertreter der Gemeinde in Beiräten, Ausschüssen, Gesellschafterversammlungen, Aufsichtsräten oder entsprechenden Organen von juristischen Personen oder Personenvereinigungen, an denen die Gemeinde unmittelbar oder mittelbar beteiligt ist, haben die Interessen der Gemeinde zu verfolgen. Sie sind an die Beschlüsse des Rates und seiner Ausschüsse gebunden. Die vom Rat bestellten Vertreter haben ihr Amt auf Beschluß des Rates jederzeit niederzulegen. Die Sätze 1 bis 3 gelten nur, soweit durch Gesetz nichts anderes bestimmt ist.</w:t>
      </w:r>
    </w:p>
    <w:p>
      <w:r>
        <w:t xml:space="preserve">(2) Bei unmittelbaren Beteiligungen vertritt ein vom Rat bestellter Vertreter die Gemeinde in den in Absatz 1 genannten Gremien. Sofern weitere Vertreter zu benennen sind, muss der Bürgermeister oder der von ihm vorgeschlagene Bedienstete der Gemeinde dazuzählen. Die Sätze 1 und 2 gelten für mittelbare Beteiligungen entsprechend, sofern nicht ähnlich wirksame Vorkehrungen zur Sicherung hinreichender gemeindlicher Einfluss- und Steuerungsmöglichkeiten getroffen werden.</w:t>
      </w:r>
    </w:p>
    <w:p>
      <w:r>
        <w:t xml:space="preserve">(3) Die Gemeinde ist verpflichtet, bei der Ausgestaltung des Gesellschaftsvertrages einer Kapitalgesellschaft darauf hinzuwirken, daß ihr das Recht eingeräumt wird, Mitglieder in den Aufsichtsrat zu entsenden. Über die Entsendung entscheidet der Rat. Zu den entsandten Aufsichtsratsmitgliedern muß der Bürgermeister oder der von ihm vorgeschlagene Bedienstete der Gemeinde zählen, wenn diese mit mehr als einem Mitglied im Aufsichtsrat vertreten ist. Dies gilt sowohl für unmittelbare als auch für mittelbare Beteiligungen.</w:t>
      </w:r>
    </w:p>
    <w:p>
      <w:r>
        <w:t xml:space="preserve">(4) Ist der Gemeinde das Recht eingeräumt worden, Mitglieder des Vorstandes oder eines gleichartigen Organs zu bestellen oder vorzuschlagen, entscheidet der Rat.</w:t>
      </w:r>
    </w:p>
    <w:p>
      <w:r>
        <w:t xml:space="preserve">(5) Die Vertreter der Gemeinde haben den Rat über alle Angelegenheiten von besonderer Bedeutung frühzeitig zu unterrichten. Die Unterrichtungspflicht besteht nur, soweit durch Gesetz nichts anderes bestimmt ist.</w:t>
      </w:r>
    </w:p>
    <w:p>
      <w:r>
        <w:t xml:space="preserve">(6) Die Vertreterinnen und Vertreter der Gemeinde haben über die zur Wahrnehmung des Vertretungsamtes sowie die zur Beurteilung und Überwachung der Geschäfte, die das Unternehmen oder die Einrichtung betreibt, erforderliche betriebswirtschaftliche Erfahrung und Sachkunde zu verfügen. Die Gemeinde soll den nach Satz 1 entsandten Personen die Gelegenheit geben, regelmäßig an Fortbildungsveranstaltungen teilzunehmen, die der Wahrnehmung dieser Aufgaben dienlich sind. Die nach Satz 1 entsandten Personen haben sich regelmäßig zur Wahrnehmung dieser Aufgaben fortzubilden.</w:t>
      </w:r>
    </w:p>
    <w:p>
      <w:r>
        <w:t xml:space="preserve">(7) Wird ein Vertreter der Gemeinde aus seiner Tätigkeit in einem Organ haftbar gemacht, so hat ihm die Gemeinde den Schaden zu ersetzen, es sei denn, daß er ihn vorsätzlich oder grob fahrlässig herbeigeführt hat. Auch in diesem Falle ist die Gemeinde schadensersatzpflichtig, wenn ihr Vertreter nach Weisung des Rates oder eines Ausschusses gehandelt hat.</w:t>
      </w:r>
    </w:p>
    <w:p>
      <w:r>
        <w:rPr>
          <w:color w:val="555555"/>
          <w:sz w:val="17"/>
        </w:rPr>
        <w:t xml:space="preserve">Zitiervorschlag: § 113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