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NW_28849 (Nordrhein-Westfalen) — Wirtschaftsgrundsätze</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Unternehmen und Einrichtungen sind so zu führen, zu steuern und zu kontrollieren, daß der öffentliche Zweck nachhaltig erfüllt wird. Unternehmen sollen einen Ertrag für den Haushalt der Gemeinde abwerfen, soweit dadurch die Erfüllung des öffentlichen Zwecks nicht beeinträchtigt wird.</w:t>
      </w:r>
    </w:p>
    <w:p>
      <w:r>
        <w:t xml:space="preserve">(2) Der Jahresgewinn der wirtschaftlichen Unternehmen als Unterschied der Erträge und Aufwendungen soll so hoch sein, daß außer den für die technische und wirtschaftliche Entwicklung des Unternehmens notwendigen Rücklagen mindestens eine marktübliche Verzinsung des Eigenkapitals erwirtschaftet wird.</w:t>
      </w:r>
    </w:p>
    <w:p>
      <w:r>
        <w:rPr>
          <w:color w:val="555555"/>
          <w:sz w:val="17"/>
        </w:rPr>
        <w:t xml:space="preserve">Zitiervorschlag: § 109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https://recht.nulegal.eu/gesetze/NW_28849/109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