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108b NW_28849 (Nordrhein-Westfalen) — Regelung zur Vollparität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Maßgabe der folgenden Regelungen kann für die fakultativen Aufsichtsräte kommunal beherrschter Gesellschaften, die von den amtierenden kommunalen Vertretungen zu bestellen sind, auf Antrag eine Ausnahme von der in § 108a geregelten Drittelparität zugelassen werden.</w:t>
      </w:r>
    </w:p>
    <w:p>
      <w:r>
        <w:t xml:space="preserve">(2) Die Ausnahme ist von der Gemeinde, die die Gesellschaft beherrscht, bei der zuständigen Aufsichtsbehörde unter Beifügung eines entsprechenden Ratsbeschlusses und des vorgesehenen Gesellschaftsvertrages zu beantragen. Sind an der kommunal beherrschten Gesellschaft zwei oder mehr Gemeinden beteiligt, muss der Antrag von sämtlichen an der Gesellschaft beteiligten Gemeinden unter Beifügung der entsprechenden Ratsbeschlüsse gestellt werden.</w:t>
      </w:r>
    </w:p>
    <w:p>
      <w:r>
        <w:t xml:space="preserve">(3) Die zuständige Aufsichtsbehörde hat die Ausnahme zuzulassen, wenn die in Absatz 2 genannten Unterlagen ordnungsgemäß vorliegen und der Gesellschaftsvertrag den sonstigen Anforderungen des § 108a und der nachfolgenden Absätze entspricht. Die Zulassung der Ausnahme durch die zuständige Aufsichtsbehörde bedarf vor ihrem Wirksamwerden der Genehmigung des für Kommunales zuständigen Ministeriums.</w:t>
      </w:r>
    </w:p>
    <w:p>
      <w:r>
        <w:t xml:space="preserve">(4) Sind sämtliche Aufsichtsratsmandate von der Gemeinde zu besetzen, können abweichend von § 108a Absatz 1 Satz 3 bis zur Hälfte der Aufsichtsratsmandate mit Arbeitnehmervertretern besetzt werden. Wird die Hälfte der Aufsichtsratsmandate mit Arbeitnehmervertretern besetzt, muss der Gesellschaftsvertrag vorsehen, dass der Aufsichtsratsvorsitzende nicht zu dem von der Arbeitnehmerseite vorgeschlagenen Personenkreis gehört. Außerdem muss der Gesellschaftsvertrag für den Fall, dass eine Abstimmung im Aufsichtsrat Stimmengleichheit ergibt, regeln, dass noch in derselben Sitzung des Aufsichtsrats eine erneute Abstimmung über denselben Gegenstand herbeigeführt wird, bei der der Aufsichtsratsvorsitzende zwei Stimmen hat.</w:t>
      </w:r>
    </w:p>
    <w:p>
      <w:r>
        <w:t xml:space="preserve">(5) Ist ein Teil der Aufsichtsratsmandate von Gesellschaftern zu besetzen, die die Vorschriften des 11. Teils nicht unmittelbar, sinngemäß oder entsprechend anzuwenden haben, muss der Gesellschaftsvertrag vorsehen, dass die Mehrzahl der auf die Gemeinde entfallenden Aufsichtsratsmandate mit Personen besetzt wird, die nicht von der Arbeitnehmerseite vorgeschlagen werden.</w:t>
      </w:r>
    </w:p>
    <w:p>
      <w:r>
        <w:t xml:space="preserve">(6) Im Übrigen gelten die Regelungen des § 108a. Das für Kommunales zuständige Ministerium bestimmt durch Rechtsverordnung das Verfahren für die Wahl der Vorschlagsliste, insbesondere die Vorbereitung der Wahl und die Aufstellung der Wählerlisten, die Frist für die Einsichtnahme in die Wählerlisten und die Erhebung von Einsprüchen gegen sie, die Wahlvorschläge und die Frist für ihre Einreichung, das Wahlausschreiben und die Frist für seine Bekanntmachung, die Stimmabgabe, die Feststellung des Wahlergebnisses und die Fristen für seine Bekanntmachung, die Anfechtung der Wahl und die Aufbewahrung der Wahlakten.</w:t>
      </w:r>
    </w:p>
    <w:p>
      <w:r>
        <w:rPr>
          <w:color w:val="555555"/>
          <w:sz w:val="17"/>
        </w:rPr>
        <w:t xml:space="preserve">Zitiervorschlag: § 108b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https://recht.nulegal.eu/gesetze/NW_28849/108b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