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107a NW_28849 (Nordrhein-Westfalen) — Zulässigkeit energiewirtschaftlicher Betätigung</w:t>
      </w:r>
    </w:p>
    <w:p>
      <w:r>
        <w:rPr>
          <w:color w:val="555555"/>
          <w:sz w:val="18"/>
        </w:rPr>
        <w:t xml:space="preserve">GO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wirtschaftliche Betätigung in den Bereichen der Strom-, Gas- und Wärmeversorgung dient einem öffentlichen Zweck und ist zulässig, wenn sie nach Art und Umfang in einem angemessenen Verhältnis zu der Leistungsfähigkeit der Gemeinde steht.</w:t>
      </w:r>
    </w:p>
    <w:p>
      <w:r>
        <w:t xml:space="preserve">(2) Mit den Bereichen Strom-, Gas- und Wärmeversorgung unmittelbar verbundene Dienstleistungen sind zulässig, wenn sie den Hauptzweck fördern. Die Gemeinde stellt sicher, dass bei der Erbringung dieser Dienstleistungen die Belange kleinerer Unternehmen, insbesondere des Handwerks, berücksichtigt werden.</w:t>
      </w:r>
    </w:p>
    <w:p>
      <w:r>
        <w:t xml:space="preserve">(3) Die Aufnahme einer überörtlichen energiewirtschaftlichen Betätigung ist zulässig, wenn die Voraussetzung des Absatzes 1 vorliegt und die berechtigten Interessen der betroffenen kommunalen Gebietskörperschaften gewahrt sind. Bei der Versorgung mit Strom und Gas gelten nur die Interessen als berechtigt, die nach den Vorschriften des Energiewirtschaftsgesetzes eine Einschränkung des Wettbewerbs zulassen. Die Aufnahme einer energiewirtschaftlichen Betätigung auf ausländischen Märkten ist zulässig, wenn die Voraussetzung des Absatzes 1 vorliegt. Die Aufnahme einer solchen Betätigung bedarf der Genehmigung.</w:t>
      </w:r>
    </w:p>
    <w:p>
      <w:r>
        <w:t xml:space="preserve">(4) Vor der Entscheidung über die Gründung von bzw. die unmittelbare Beteiligung an Unternehmen im Sinne des Absatzes 1 ist der Rat über die Chancen und Risiken des beabsichtigten wirtschaftlichen Engagements zu unterrichten. Den örtlichen Selbstverwaltungsorganisationen von Handwerk, Industrie und Handel und den für die Beschäftigten der jeweiligen Branchen handelnden Gewerkschaften ist Gelegenheit zur Stellungnahme zu geben, sofern die Entscheidung die Erbringung verbundener Dienstleistungen betrifft.</w:t>
      </w:r>
    </w:p>
    <w:p>
      <w:r>
        <w:rPr>
          <w:color w:val="555555"/>
          <w:sz w:val="17"/>
        </w:rPr>
        <w:t xml:space="preserve">Zitiervorschlag: § 107a NW_28849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https://recht.nulegal.eu/gesetze/NW_28849/107a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