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NW_28847 (Nordrhein-Westfalen) — Vermögen des Eigenbetriebs</w:t>
      </w:r>
    </w:p>
    <w:p>
      <w:r>
        <w:rPr>
          <w:color w:val="555555"/>
          <w:sz w:val="18"/>
        </w:rPr>
        <w:t xml:space="preserve">EigVO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Eigenbetrieb ist finanzwirtschaftlich als Sondervermögen der Gemeinde zu verwalten und nachzuweisen. Auf die Erhaltung des Sondervermögens ist Bedacht zu nehmen. Bei der Errichtung eines Eigenbetriebs durch Ausgliederung von Vermögen und Schulden aus dem Haushalt der Gemeinde sind deren Gegenstand und Wert in der Betriebssatzung festzusetzen. Gleichzeitig sind in einem Ausgliederungsbericht die für die Angemessenheit der Einbringung wesentlichen Umstände darzulegen. Die Eröffnungsbilanz für den neu zu errichtenden Eigenbetrieb ist zu prüfen; § 21 findet entsprechende Anwendung</w:t>
      </w:r>
    </w:p>
    <w:p>
      <w:r>
        <w:t xml:space="preserve">(2) Das in der Betriebssatzung festzusetzende Stammkapital und die Rücklagen haben eine angemessene Eigenkapitalausstattung des Eigenbetriebs darzustellen.</w:t>
      </w:r>
    </w:p>
    <w:p>
      <w:r>
        <w:rPr>
          <w:color w:val="555555"/>
          <w:sz w:val="17"/>
        </w:rPr>
        <w:t xml:space="preserve">Zitiervorschlag: § 9 NW_28847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https://recht.nulegal.eu/gesetze/NW_28847/9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