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NW_28847 (Nordrhein-Westfalen) — Zuständigkeiten des Rates der Gemeinde</w:t>
      </w:r>
    </w:p>
    <w:p>
      <w:r>
        <w:rPr>
          <w:color w:val="555555"/>
          <w:sz w:val="18"/>
        </w:rPr>
        <w:t xml:space="preserve">EigVO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Rat der Gemeinde entscheidet über die Angelegenheiten, die er nach der Gemeindeordnung nicht übertragen kann, und über</w:t>
      </w:r>
    </w:p>
    <w:p>
      <w:r>
        <w:t xml:space="preserve">a) die Bestellung und die Abberufung der Betriebsleitung,</w:t>
      </w:r>
    </w:p>
    <w:p>
      <w:r>
        <w:t xml:space="preserve">b) die Feststellung und Änderung des Wirtschaftsplans,</w:t>
      </w:r>
    </w:p>
    <w:p>
      <w:r>
        <w:t xml:space="preserve">c) die Feststellung des Jahresabschlusses, die Verwendung des Jahresgewinns oder die Behandlung eines Jahresverlustes und die Entlastung des Betriebsausschusses,</w:t>
      </w:r>
    </w:p>
    <w:p>
      <w:r>
        <w:t xml:space="preserve">d) die Verminderung des Eigenkapitals zugunsten der Gemeinde.</w:t>
      </w:r>
    </w:p>
    <w:p>
      <w:r>
        <w:rPr>
          <w:color w:val="555555"/>
          <w:sz w:val="17"/>
        </w:rPr>
        <w:t xml:space="preserve">Zitiervorschlag: § 4 NW_28847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https://recht.nulegal.eu/gesetze/NW_28847/4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