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NW_28847 (Nordrhein-Westfalen) — Gewinn- und Verlustrechnung</w:t>
      </w:r>
    </w:p>
    <w:p>
      <w:r>
        <w:rPr>
          <w:color w:val="555555"/>
          <w:sz w:val="18"/>
        </w:rPr>
        <w:t xml:space="preserve">EigVO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Gewinn- und Verlustrechnung ist, wenn der Gegenstand des Betriebes keine abweichende Gliederung bedingt, die gleichwertig sein muss, entsprechend der Vorschrift des § 275 des Handelsgesetzbuches aufzustellen.</w:t>
      </w:r>
    </w:p>
    <w:p>
      <w:r>
        <w:t xml:space="preserve">(2) Eigenbetriebe mit mehr als einem Betriebszweig haben für den Schluss eines jeden Wirtschaftsjahres eine Gewinn- und Verlustrechnung für jeden Betriebszweig aufzustellen, die in den Anhang aufzunehmen ist. Dabei sind gemeinsame Aufwendungen und Erträge sachgerecht auf die Betriebszweige aufzuteilen, soweit Lieferungen und Leistungen nicht gesondert verrechnet werden.</w:t>
      </w:r>
    </w:p>
    <w:p>
      <w:r>
        <w:rPr>
          <w:color w:val="555555"/>
          <w:sz w:val="17"/>
        </w:rPr>
        <w:t xml:space="preserve">Zitiervorschlag: § 23 NW_28847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https://recht.nulegal.eu/gesetze/NW_28847/23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