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NW_28847 (Nordrhein-Westfalen) — Betriebsleitung</w:t>
      </w:r>
    </w:p>
    <w:p>
      <w:r>
        <w:rPr>
          <w:color w:val="555555"/>
          <w:sz w:val="18"/>
        </w:rPr>
        <w:t xml:space="preserve">EigVO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Eigenbetrieb wird von der Betriebsleitung selbstständig geleitet, soweit nicht durch die Gemeindeordnung, diese Verordnung oder die Betriebssatzung etwas anderes bestimmt ist. Der Betriebsleitung obliegt insbesondere die laufende Betriebsführung. Sie ist für die wirtschaftliche Führung des Eigenbetriebs verantwortlich und hat die Sorgfalt eines ordentlichen und gewissenhaften Geschäftsleiters anzuwenden. Für Schäden haftet die Betriebsleitung entsprechend den Vorschriften des § 48 des Beamtenstatusgesetzes und § 81 des Landesbeamtengesetzes.</w:t>
      </w:r>
    </w:p>
    <w:p>
      <w:r>
        <w:t xml:space="preserve">(2) Die Betriebsleitung besteht aus einer Betriebsleiterin, einem Betriebsleiter oder mehreren Betriebsleiterinnen bzw. Betriebsleitern. Der Rat kann eine Betriebsleiterin oder einen Betriebsleiter zur Ersten Betriebsleiterin oder zum Ersten Betriebsleiter bestellen. Die Betriebssatzung regelt, wie bei Meinungsverschiedenheiten innerhalb der Betriebsleitung zu verfahren ist.</w:t>
      </w:r>
    </w:p>
    <w:p>
      <w:r>
        <w:t xml:space="preserve">(3) Gehört zur Betriebsleitung eine Beigeordnete oder ein Beigeordneter der Gemeinde, so ist sie Erste Betriebsleiterin oder er Erster Betriebsleiter.</w:t>
      </w:r>
    </w:p>
    <w:p>
      <w:r>
        <w:t xml:space="preserve">(4) Die Geschäftsverteilung innerhalb einer Betriebsleitung, die aus mehreren Mitgliedern besteht, regeln die Bürgermeisterin oder der Bürgermeister mit Zustimmung des Betriebsausschusses durch Dienstanweisung.</w:t>
      </w:r>
    </w:p>
    <w:p>
      <w:r>
        <w:rPr>
          <w:color w:val="555555"/>
          <w:sz w:val="17"/>
        </w:rPr>
        <w:t xml:space="preserve">Zitiervorschlag: § 2 NW_28847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