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NW_28847 (Nordrhein-Westfalen) — Maßnahmen zur Erhaltung des Vermögens und der Leistungsfähigkeit</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dauernde technische und wirtschaftliche Leistungsfähigkeit des Eigenbetriebs ist zu sorgen. Hierzu ist u.a. ein Überwachungssystem einzurichten, das es ermöglicht, etwaige die Entwicklung beeinträchtigende Risiken frühzeitig zu erkennen. Zur Risikofrüherkennung gehören insbesondere</w:t>
      </w:r>
    </w:p>
    <w:p>
      <w:r>
        <w:t xml:space="preserve">- die Risikoidentifikation,</w:t>
      </w:r>
    </w:p>
    <w:p>
      <w:r>
        <w:t xml:space="preserve">- die Risikobewertung,</w:t>
      </w:r>
    </w:p>
    <w:p>
      <w:r>
        <w:t xml:space="preserve">- Maßnahmen der Risikobewältigung einschließlich der Risikokommunikation,</w:t>
      </w:r>
    </w:p>
    <w:p>
      <w:r>
        <w:t xml:space="preserve">- die Risikoüberwachung/Risikofortschreibung und</w:t>
      </w:r>
    </w:p>
    <w:p>
      <w:r>
        <w:t xml:space="preserve">- die Dokumentation.</w:t>
      </w:r>
    </w:p>
    <w:p>
      <w:r>
        <w:t xml:space="preserve">(2) Sämtliche Lieferungen, Leistungen und Darlehen, auch im Verhältnis zwischen Eigenbetrieb und Gemeinde, einem anderen Eigenbetrieb der Gemeinde oder einer Gesellschaft, an der die Gemeinde beteiligt ist, sind angemessen zu vergüten. Der Eigenbetrieb kann jedoch abweichend von Satz 1</w:t>
      </w:r>
    </w:p>
    <w:p>
      <w:r>
        <w:t xml:space="preserve">1. Wasser für den Brandschutz, für die Reinigung von Straßen und Abwasseranlagen sowie für öffentliche Zier- und Straßenbrunnen unentgeltlich oder verbilligt liefern,</w:t>
      </w:r>
    </w:p>
    <w:p>
      <w:r>
        <w:t xml:space="preserve">2. auf die Tarifpreise für Leistungen von Elektrizität, Gas, Wasser und Wärme einen Preisnachlass gewähren, soweit dieser steuerrechtlich anerkannt ist.</w:t>
      </w:r>
    </w:p>
    <w:p>
      <w:r>
        <w:t xml:space="preserve">(3) Für die technische und wirtschaftliche Fortentwicklung des Eigenbetriebs und, soweit die Abschreibungen nicht ausreichen, für Erneuerungen sollen Rücklagen gebildet werden. Bei umfangreichen Investitionen kann neben die Eigenfinanzierung die Finanzierung aus Krediten treten. Eigenkapital und Fremdkapital sollen in einem angemessenen Verhältnis zueinander stehen.</w:t>
      </w:r>
    </w:p>
    <w:p>
      <w:r>
        <w:t xml:space="preserve">(4) Die Gemeinde darf das Eigenkapital zum Zwecke der Rückzahlung nur vermindern, wenn dadurch die Erfüllung der Aufgaben und die erforderliche Eigenkapitalausstattung des Eigenbetriebs nicht gefährdet werden. Vor der Beschlussfassung des Rates nach § 4 Buchstabe d sind der Betriebsausschuss und die Betriebsleitung zu hören; die Betriebsleitung hat schriftlich Stellung zu nehmen.</w:t>
      </w:r>
    </w:p>
    <w:p>
      <w:r>
        <w:t xml:space="preserve">(5) Der Jahresgewinn des Eigenbetriebs soll so hoch sein, dass neben angemessenen Rücklagen nach Absatz 3 mindestens eine marktübliche Verzinsung des Eigenkapitals erwirtschaftet wird.</w:t>
      </w:r>
    </w:p>
    <w:p>
      <w:r>
        <w:t xml:space="preserve">(6) Ein etwaiger Jahresverlust ist, soweit er nicht aus Haushaltsmitteln der Gemeinde ausgeglichen wird, auf neue Rechnung vorzutragen, wenn hierdurch die erforderliche Eigenkapitalausstattung des Eigenbetriebs nicht gefährdet wird. Eine Verbesserung der Ertragslage ist anzustreben. Ein nach Ablauf von fünf Jahren nicht getilgter Verlustvortrag soll durch Abbuchung von den Rücklagen ausgeglichen werden, wenn dies die Eigenkapitalausstattung zulässt; ist dies nicht der Fall, so ist der Verlust aus Haushaltsmitteln der Gemeinde auszugleichen.</w:t>
      </w:r>
    </w:p>
    <w:p>
      <w:r>
        <w:rPr>
          <w:color w:val="555555"/>
          <w:sz w:val="17"/>
        </w:rPr>
        <w:t xml:space="preserve">Zitiervorschlag: § 10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