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NW_28836 (Nordrhein-Westfalen) — Durchschnittliche Warmmiete</w:t>
      </w:r>
    </w:p>
    <w:p>
      <w:r>
        <w:rPr>
          <w:color w:val="555555"/>
          <w:sz w:val="18"/>
        </w:rPr>
        <w:t xml:space="preserve">AG-SGB XII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maßgebende Zwölfmonatszeitraum für die jährliche Neuermittlung der durchschnittlichen Warmmiete nach § 45a Absatz 2 Satz 2 des Zwölften Buches Sozialgesetzbuch wird auf den Zeitraum vom 1. Juli des Vorjahres bis zum 30. Juni des jeweiligen Jahres festgelegt.</w:t>
      </w:r>
    </w:p>
    <w:p>
      <w:r>
        <w:t xml:space="preserve">(2) Soweit erforderlich kann das für das Sozialhilferecht zuständige Ministerium weitere Einzelheiten und Modalitäten zu § 45a Absatz 2 des Zwölften Buches Sozialgesetzbuch im Erlasswege regeln und einen vom Absatz 1 abweichenden Zwölfmonatszeitraum festlegen.</w:t>
      </w:r>
    </w:p>
    <w:p>
      <w:r>
        <w:rPr>
          <w:color w:val="555555"/>
          <w:sz w:val="17"/>
        </w:rPr>
        <w:t xml:space="preserve">Zitiervorschlag: § 7a NW_28836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https://recht.nulegal.eu/gesetze/NW_28836/7a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