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NW_28836 (Nordrhein-Westfalen) — Vereinbarung über abweichende Verteilung</w:t>
      </w:r>
    </w:p>
    <w:p>
      <w:r>
        <w:rPr>
          <w:color w:val="555555"/>
          <w:sz w:val="18"/>
        </w:rPr>
        <w:t xml:space="preserve">AG-SGB XII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Um die Zusammenführung der Aufgaben- und Finanzverantwortung zu erproben, können Kreise und kreisangehörige Gemeinden auch eine von § 5 Abs. 1 abweichende Verteilung der Sozialhilfeaufwendungen vereinbaren. Ziel, Inhalt, Dauer und Verfahren entsprechender Vorhaben teilen die Kreise dem für das Sozialhilferecht zuständigen Ministerium mit.</w:t>
      </w:r>
    </w:p>
    <w:p>
      <w:r>
        <w:rPr>
          <w:color w:val="555555"/>
          <w:sz w:val="17"/>
        </w:rPr>
        <w:t xml:space="preserve">Zitiervorschlag: § 6 NW_28836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https://recht.nulegal.eu/gesetze/NW_28836/6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