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NW_28836 (Nordrhein-Westfalen) — Erstattung von Aufwendungen</w:t>
      </w:r>
    </w:p>
    <w:p>
      <w:r>
        <w:rPr>
          <w:color w:val="555555"/>
          <w:sz w:val="18"/>
        </w:rPr>
        <w:t xml:space="preserve">AG-SGB XII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Fällen der §§ 3 und 4 gelten § 91 Abs. 1 Satz 1 und 2, Abs. 3 sowie die §§ 111 und 113 des Zehnten Buches Sozialgesetzbuch entsprechend.</w:t>
      </w:r>
    </w:p>
    <w:p>
      <w:r>
        <w:t xml:space="preserve">(2) Eine Erstattungspflicht besteht nicht, soweit Sozialleistungen zu Unrecht erbracht oder Ansprüche gegen Dritte nicht geltend gemacht worden sind und dies auf einer vorsätzlichen oder grob fahrlässigen Verletzung von Pflichten durch die herangezogene Körperschaft beruht.</w:t>
      </w:r>
    </w:p>
    <w:p>
      <w:r>
        <w:rPr>
          <w:color w:val="555555"/>
          <w:sz w:val="17"/>
        </w:rPr>
        <w:t xml:space="preserve">Zitiervorschlag: § 5 NW_28836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