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NW_28836 (Nordrhein-Westfalen) — Vorläufige Hilfeleistung</w:t>
      </w:r>
    </w:p>
    <w:p>
      <w:r>
        <w:rPr>
          <w:color w:val="555555"/>
          <w:sz w:val="18"/>
        </w:rPr>
        <w:t xml:space="preserve">AG-SGB XII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Solange zwischen dem überörtlichen und dem örtlichen Träger streitig ist, wer sachlich zuständig ist, ist der örtliche Träger verpflichtet, die erforderliche Hilfe zu gewähren.</w:t>
      </w:r>
    </w:p>
    <w:p>
      <w:r>
        <w:t xml:space="preserve">(2) Kann der überörtliche Träger nicht rechtzeitig tätig werden, hat der örtliche Träger die notwendigen Maßnahmen zu treffen.</w:t>
      </w:r>
    </w:p>
    <w:p>
      <w:r>
        <w:t xml:space="preserve">(3) Kann ein Kreis als örtlicher Träger nicht rechtzeitig tätig werden, hat die kreisangehörige Gemeinde, auch in den Fällen des Absatzes 2, die notwendigen Maßnahmen zu treffen.</w:t>
      </w:r>
    </w:p>
    <w:p>
      <w:r>
        <w:rPr>
          <w:color w:val="555555"/>
          <w:sz w:val="17"/>
        </w:rPr>
        <w:t xml:space="preserve">Zitiervorschlag: § 4 NW_28836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https://recht.nulegal.eu/gesetze/NW_28836/4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