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NW_28836 (Nordrhein-Westfalen) — Ordnungswidrigkeiten</w:t>
      </w:r>
    </w:p>
    <w:p>
      <w:r>
        <w:rPr>
          <w:color w:val="555555"/>
          <w:sz w:val="18"/>
        </w:rPr>
        <w:t xml:space="preserve">AG-SGB XII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117 Absatz 6 des Zwölften Buches Sozialgesetzbuch wird den örtlichen Trägern übertragen.</w:t>
      </w:r>
    </w:p>
    <w:p>
      <w:r>
        <w:rPr>
          <w:color w:val="555555"/>
          <w:sz w:val="17"/>
        </w:rPr>
        <w:t xml:space="preserve">Zitiervorschlag: § 2b NW_28836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https://recht.nulegal.eu/gesetze/NW_28836/2b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