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NW_28806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Niederländisch-Reformierte Gemeinde zu Wuppertal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Verleihung der Rechte einer Körperschaft des öffentlichen Rechts erfolgt auf der Grundlage der Gemeindeordnung für die Niederländisch-Reformierte Gemeinde zu Wuppertal vom 20. Januar 2002.</w:t>
      </w:r>
    </w:p>
    <w:p>
      <w:r>
        <w:t xml:space="preserve">(2) Änderungen der Gemeindeordnung sind der für Religionsangelegenheiten zuständigen obersten Landesbehörde anzuzeigen.</w:t>
      </w:r>
    </w:p>
    <w:p>
      <w:r>
        <w:rPr>
          <w:color w:val="555555"/>
          <w:sz w:val="17"/>
        </w:rPr>
        <w:t xml:space="preserve">Zitiervorschlag: § 2 NW_28806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