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NW_28786 (Nordrhein-Westfalen)</w:t>
      </w:r>
    </w:p>
    <w:p>
      <w:r>
        <w:rPr>
          <w:color w:val="555555"/>
          <w:sz w:val="18"/>
        </w:rPr>
        <w:t xml:space="preserve">DVO VIVBVEG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Aufgrund des § 33 des Gesetzes über das Verfahren bei Volksinitiative, Volksbegehren und Volksentscheid (VIVBVEG) in der Fassung der Bekanntmachung vom 30. April 2002 (GV. NRW. S. 130), zuletzt geändert durch Gesetz vom 21. Juli 2004 (GV. NRW. S. 408), wird im Einvernehmen mit dem Hauptausschuss des Landtags und im Einvernehmen mit der Staatskanzlei verordnet:</w:t>
      </w:r>
    </w:p>
    <w:p>
      <w:r>
        <w:t xml:space="preserve">I.</w:t>
      </w:r>
    </w:p>
    <w:p>
      <w:r>
        <w:t xml:space="preserve">Volksinitiative</w:t>
      </w:r>
    </w:p>
    <w:p>
      <w:r>
        <w:rPr>
          <w:color w:val="555555"/>
          <w:sz w:val="17"/>
        </w:rPr>
        <w:t xml:space="preserve">Zitiervorschlag: Volltext NW_28786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https://recht.nulegal.eu/gesetze/NW_28786/volltext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