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NW_28786 (Nordrhein-Westfalen) — Mitteilung der Unterbreitung an den Landtag</w:t>
      </w:r>
    </w:p>
    <w:p>
      <w:r>
        <w:rPr>
          <w:color w:val="555555"/>
          <w:sz w:val="18"/>
        </w:rPr>
        <w:t xml:space="preserve">DVO VIVBVEG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Inneres zuständige Ministerium teilt der Vertrauensperson und nachrichtlich der stellvertretenden Vertrauensperson den Zeitpunkt des Eingangs der Unterbreitung des Volksbegehrens beim Landtag gegen Zustellung mit.</w:t>
      </w:r>
    </w:p>
    <w:p>
      <w:r>
        <w:rPr>
          <w:color w:val="555555"/>
          <w:sz w:val="17"/>
        </w:rPr>
        <w:t xml:space="preserve">Zitiervorschlag: § 9 NW_28786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