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NW_28786 (Nordrhein-Westfalen) — Eintragungslisten</w:t>
      </w:r>
    </w:p>
    <w:p>
      <w:r>
        <w:rPr>
          <w:color w:val="555555"/>
          <w:sz w:val="18"/>
        </w:rPr>
        <w:t xml:space="preserve">DVO VIVBVEG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Antragstellerinnen und Antragsteller haben die Eintragungs- und Nachtragslisten in genügender Anzahl rechtzeitig an die Gemeinden zu übersenden. Die Eintragungs- und Nachtragslisten müssen den Mustern der Anlagen 3a, 3b, 4a und 4b entsprechen und sollen mit laufenden Nummern versehen sein.</w:t>
      </w:r>
    </w:p>
    <w:p>
      <w:r>
        <w:t xml:space="preserve">(2) Die für die kreisangehörigen Gemeinden bestimmten Eintragungs- und Nachtragslisten können dem Kreis zur Weiterleitung an die kreisangehörigen Gemeinden zugesandt werden; die gesetzliche Fristvon vier Wochen gilt in diesem Falle als gewahrt, wenn die Listen zwei Tage vor Ablauf der Frist beim Kreis eingegangen sind.</w:t>
      </w:r>
    </w:p>
    <w:p>
      <w:r>
        <w:t xml:space="preserve">(3) Die Vertrauensperson kann den einzelnen Gemeinden gegenüber bei oder nach Übersendung der Eintragungslisten Beauftragte bezeichnen, die zu dem aus der Listenversendung mit den Gemeinden entstehenden Geschäftsverkehr berechtigt sind.</w:t>
      </w:r>
    </w:p>
    <w:p>
      <w:r>
        <w:t xml:space="preserve">(4) Die Gemeinden haben den Einsendern den Eingang der Eintragungs- und Nachtragslisten schriftlich zu bestätigen und hierbei mitzuteilen, wo und wann die Listen zur Eintragung ausliegen.</w:t>
      </w:r>
    </w:p>
    <w:p>
      <w:r>
        <w:rPr>
          <w:color w:val="555555"/>
          <w:sz w:val="17"/>
        </w:rPr>
        <w:t xml:space="preserve">Zitiervorschlag: § 5 NW_28786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