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NW_28786 (Nordrhein-Westfalen) — Antrag auf Zulassung</w:t>
      </w:r>
    </w:p>
    <w:p>
      <w:r>
        <w:rPr>
          <w:color w:val="555555"/>
          <w:sz w:val="18"/>
        </w:rPr>
        <w:t xml:space="preserve">DVO VIVBVEG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Zulassung der Listenauslegung und gegebenenfalls der parallelen freien Unterschriftensammlung muss den Mustern der Anlagen 2a, 2b und 2c entsprechen.</w:t>
      </w:r>
    </w:p>
    <w:p>
      <w:r>
        <w:t xml:space="preserve">(2) § 1 Abs. 1 Satz 2 und 3 (bezogen auf Anlage 2a und 2b), Abs. 2 (bezogen auf Anlage 2a und 2c), Abs. 3 (bezogen auf § 8 Satz 1 des Gesetzes), Abs. 4 bis 6 (jeweils bezogen auf Anlage 2b) gelten entsprechend.</w:t>
      </w:r>
    </w:p>
    <w:p>
      <w:r>
        <w:rPr>
          <w:color w:val="555555"/>
          <w:sz w:val="17"/>
        </w:rPr>
        <w:t xml:space="preserve">Zitiervorschlag: § 2 NW_28786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