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NW_28785 (Nordrhein-Westfalen)</w:t>
      </w:r>
    </w:p>
    <w:p>
      <w:r>
        <w:rPr>
          <w:color w:val="555555"/>
          <w:sz w:val="18"/>
        </w:rPr>
        <w:t xml:space="preserve">Gesetz über das Verfahren bei Volksinitiative, Volksbegehren und Volksentscheid (VIVBVEG);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Stimmberechtigte (§ 1 des Landeswahlgesetzes), die ein Volksbegehren nach Artikel 68 der Landesverfassung stellen wollen, haben sich in Listen einzutragen, die von den Gemeindebehörden auszulegen sind, nachdem die Auslegung zugelassen ist.</w:t>
      </w:r>
    </w:p>
    <w:p>
      <w:r>
        <w:t xml:space="preserve">(2) Neben der Eintragung in amtlich ausgelegte Listen nach Absatz 1 kann die Durchführung einer Unterschriftensammlung durch die Antragstellerinnen und Antragsteller (freie Unterschriftensammlung) zugelassen werden.</w:t>
      </w:r>
    </w:p>
    <w:p>
      <w:r>
        <w:t xml:space="preserve">(3) § 1 Abs. 1 gilt entsprechend.</w:t>
      </w:r>
    </w:p>
    <w:p>
      <w:r>
        <w:rPr>
          <w:color w:val="555555"/>
          <w:sz w:val="17"/>
        </w:rPr>
        <w:t xml:space="preserve">Zitiervorschlag: § 6 NW_28785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https://recht.nulegal.eu/gesetze/NW_28785/6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