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Wird der Antrag auf Behandlung der Volksinitiative als unzulässig zurückgewiesen, können die Antragstellerinnen und Antragsteller innerhalb einer Frist von einem Monat nach der Zustellung der Entscheidung den Verfassungsgerichtshof anrufen.</w:t>
      </w:r>
    </w:p>
    <w:p>
      <w:r>
        <w:t xml:space="preserve">II.</w:t>
      </w:r>
    </w:p>
    <w:p>
      <w:r>
        <w:t xml:space="preserve">Volksbegehren</w:t>
      </w:r>
    </w:p>
    <w:p>
      <w:r>
        <w:rPr>
          <w:color w:val="555555"/>
          <w:sz w:val="17"/>
        </w:rPr>
        <w:t xml:space="preserve">Zitiervorschlag: § 5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