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Inneres zuständige Ministerium wird ermächtigt, durch Rechtsverordnung im Benehmen mit dem Hauptausschuss des Landtags Einzelheiten des Verfahrens nach diesem Gesetz zu regeln, insbesondere</w:t>
      </w:r>
    </w:p>
    <w:p>
      <w:r>
        <w:t xml:space="preserve">1. zu Form und Inhalt der Unterschriftsbögen für eine Volksinitiative und eine freie Unterschriftensammlung für ein Volksbegehren,</w:t>
      </w:r>
    </w:p>
    <w:p>
      <w:r>
        <w:t xml:space="preserve">2. zu Form und Inhalt des Antrages auf Zulassung der amtlichen Listenauslegung und gegebenenfalls parallelen Durchführung der freien Unterschriftensammlung sowie der Eintragungs- und Nachtragslisten und des Eintragungsscheins für ein Volksbegehren,</w:t>
      </w:r>
    </w:p>
    <w:p>
      <w:r>
        <w:t xml:space="preserve">3. zur Versagung der Entgegennahme von Eintragungslisten, der Zulassung zur Eintragung oder der Erteilung eines Eintragungsscheins sowie zu Eintragungsstellen und -zeiten für ein Volksbegehren und</w:t>
      </w:r>
    </w:p>
    <w:p>
      <w:r>
        <w:t xml:space="preserve">4. hinsichtlich des Volksentscheids zur Bekanntmachung des Abstimmungstages durch die Gemeinden, zur Abstimmung, zur Feststellung und Anfechtung des Abstimmungsergebnisses sowie zur Wiederholung der Abstimmung.</w:t>
      </w:r>
    </w:p>
    <w:p>
      <w:r>
        <w:rPr>
          <w:color w:val="555555"/>
          <w:sz w:val="17"/>
        </w:rPr>
        <w:t xml:space="preserve">Zitiervorschlag: § 33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