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Volksinitiative ist unzulässig, wenn</w:t>
      </w:r>
    </w:p>
    <w:p>
      <w:r>
        <w:t xml:space="preserve">1. sie den Anforderungen des Artikels 67 Abs. 1 der Landesverfassung oder den Antragsvoraussetzungen nach § 1 nicht entspricht oder</w:t>
      </w:r>
    </w:p>
    <w:p>
      <w:r>
        <w:t xml:space="preserve">2. der Landtag sich innerhalb der letzten zwei Jahre vor der Antragstellung aufgrund einer Volksinitiative mit einem sachlich gleichen Gegenstand der politischen Willensbildung befasst hat.</w:t>
      </w:r>
    </w:p>
    <w:p>
      <w:r>
        <w:rPr>
          <w:color w:val="555555"/>
          <w:sz w:val="17"/>
        </w:rPr>
        <w:t xml:space="preserve">Zitiervorschlag: § 3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