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Landesregierung bestimmt den Abstimmungstag und veröffentlicht ihn sowie den Gegenstand des Volksentscheids und den Aufdruck des Stimmzettels im Gesetz- und Verordnungsblatt für das Land Nordrhein-Westfalen. Das für Inneres zuständige Ministerium sorgt für eine ausreichende weitere Veröffentlichung. Zwischen der Veröffentlichung des Gegenstands des Volksentscheids und dem Abstimmungstag muss mindestens eine Frist von einem Monat liegen.</w:t>
      </w:r>
    </w:p>
    <w:p>
      <w:r>
        <w:t xml:space="preserve">(2) Die Stimmzettel werden amtlich hergestellt.</w:t>
      </w:r>
    </w:p>
    <w:p>
      <w:r>
        <w:rPr>
          <w:color w:val="555555"/>
          <w:sz w:val="17"/>
        </w:rPr>
        <w:t xml:space="preserve">Zitiervorschlag: § 25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NW_28785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