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NW_28785 (Nordrhein-Westfalen)</w:t>
      </w:r>
    </w:p>
    <w:p>
      <w:r>
        <w:rPr>
          <w:color w:val="555555"/>
          <w:sz w:val="18"/>
        </w:rPr>
        <w:t xml:space="preserve">Gesetz über das Verfahren bei Volksinitiative, Volksbegehren und Volksentscheid (VIVBVEG);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Gegenstand des Volksentscheids ist</w:t>
      </w:r>
    </w:p>
    <w:p>
      <w:r>
        <w:t xml:space="preserve">1. wenn es sich um ein Volksbegehren nach Artikel 68 Abs. 1 der Landesverfassung handelt, das begehrte Gesetz und, falls der Landtag aus Anlass des Begehrens ein abweichendes Gesetz beschlossen hat, die Frage, ob das begehrte an die Stelle des beschlossenen Gesetzes treten soll,</w:t>
      </w:r>
    </w:p>
    <w:p>
      <w:r>
        <w:t xml:space="preserve">2. Einholung der Zustimmung zu einer durch den Landtag oder die Landesregierung begehrten Änderung der Verfassung.</w:t>
      </w:r>
    </w:p>
    <w:p>
      <w:r>
        <w:t xml:space="preserve">(2) Haben mehrere Volksbegehren nach Artikel 68 der Landesverfassung über denselben Gegenstand dem Landtag vorgelegen und hat der Landtag einem der Begehren entsprochen, so ist für jeden der anderen begehrten Gesetzentwürfe die Frage dem Volksentscheid zu unterbreiten, ob er an die Stelle des vom Landtag auf das erste Begehren beschlossenen Gesetzes treten soll.</w:t>
      </w:r>
    </w:p>
    <w:p>
      <w:r>
        <w:rPr>
          <w:color w:val="555555"/>
          <w:sz w:val="17"/>
        </w:rPr>
        <w:t xml:space="preserve">Zitiervorschlag: § 24 NW_28785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https://recht.nulegal.eu/gesetze/NW_28785/24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NW_28785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