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veröffentlicht das Ergebnis der Prüfung spätestens drei Wochen nach Abschluss des Volksbegehrens im Ministerialblatt für das Land Nordrhein-Westfalen. Die Landeswahlleiterin oder der Landeswahlleiter stelltes den Vertrauenspersonen zu.</w:t>
      </w:r>
    </w:p>
    <w:p>
      <w:r>
        <w:t xml:space="preserve">(2) Erklärt die Landesregierung das Volksbegehren für nicht rechtswirksam zustande gekommen, so sind die Vertrauenspersonen berechtigt, binnen eines Monats seit Zustellung die Entscheidung des Verfassungsgerichtshofs zu beantragen. Der Antrag kann nur darauf gestützt werden, dass die vorgeschriebene Zahl der Unterschriften erreicht sei, oder dass bei der Vorbereitung oder der Durchführung des Volksbegehrens Unregelmäßigkeiten vorgekommen seien, die das Ergebnis entscheidend beeinflusst hätten. Der Verfassungsgerichtshof entscheidet nach mündlicher Verhandlung durch Urteil.</w:t>
      </w:r>
    </w:p>
    <w:p>
      <w:r>
        <w:rPr>
          <w:color w:val="555555"/>
          <w:sz w:val="17"/>
        </w:rPr>
        <w:t xml:space="preserve">Zitiervorschlag: § 20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