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NW_28785 (Nordrhein-Westfalen)</w:t>
      </w:r>
    </w:p>
    <w:p>
      <w:r>
        <w:rPr>
          <w:color w:val="555555"/>
          <w:sz w:val="18"/>
        </w:rPr>
        <w:t xml:space="preserve">Gesetz über das Verfahren bei Volksinitiative, Volksbegehren und Volksentscheid (VIVBVEG);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Vertrauenspersonen können den Antrag bis zur Veröffentlichung der Entscheidung über die Zulässigkeit der Volksinitiative (§ 4 Abs. 2) gemeinsam durch handschriftlich unterzeichnete Erklärung gegenüber der Präsidentin oder dem Präsidenten des Landtags zurücknehmen.</w:t>
      </w:r>
    </w:p>
    <w:p>
      <w:r>
        <w:t xml:space="preserve">(2) Als Rücknahme gilt auch die schriftliche Zurückziehung so vieler Unterschriften, dass die Zahl der verbleibenden Unterschriften hinter der Mindestzahl von 0,5 vom Hundert der Stimmberechtigten (Artikel 67 Abs. 2 Satz 1 der Landesverfassung) zurückbleibt.</w:t>
      </w:r>
    </w:p>
    <w:p>
      <w:r>
        <w:rPr>
          <w:color w:val="555555"/>
          <w:sz w:val="17"/>
        </w:rPr>
        <w:t xml:space="preserve">Zitiervorschlag: § 2 NW_28785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